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3396" w14:textId="77777777" w:rsidR="003C70DF" w:rsidRDefault="003C70DF" w:rsidP="00F148BC">
      <w:pPr>
        <w:jc w:val="center"/>
        <w:rPr>
          <w:rFonts w:ascii="Arial" w:hAnsi="Arial" w:cs="Arial"/>
          <w:b/>
          <w:sz w:val="28"/>
          <w:szCs w:val="28"/>
        </w:rPr>
      </w:pPr>
    </w:p>
    <w:p w14:paraId="5B9FDC87" w14:textId="77777777" w:rsidR="00C5447E" w:rsidRPr="00901F55" w:rsidRDefault="006C7F5C" w:rsidP="00F148BC">
      <w:pPr>
        <w:jc w:val="center"/>
        <w:rPr>
          <w:rFonts w:ascii="Arial" w:hAnsi="Arial" w:cs="Arial"/>
          <w:b/>
          <w:sz w:val="28"/>
          <w:szCs w:val="28"/>
        </w:rPr>
      </w:pPr>
      <w:r w:rsidRPr="00901F55">
        <w:rPr>
          <w:rFonts w:ascii="Arial" w:hAnsi="Arial" w:cs="Arial"/>
          <w:b/>
          <w:sz w:val="28"/>
          <w:szCs w:val="28"/>
        </w:rPr>
        <w:t>REPORT TO OXFORDSHIRE GROWTH BOARD</w:t>
      </w:r>
    </w:p>
    <w:p w14:paraId="1EDC1B7C" w14:textId="77777777" w:rsidR="00F148BC" w:rsidRPr="00901F55" w:rsidRDefault="006C7F5C" w:rsidP="00F148BC">
      <w:pPr>
        <w:jc w:val="center"/>
        <w:rPr>
          <w:rFonts w:ascii="Arial" w:hAnsi="Arial" w:cs="Arial"/>
          <w:b/>
          <w:sz w:val="28"/>
          <w:szCs w:val="28"/>
        </w:rPr>
      </w:pPr>
      <w:r w:rsidRPr="00901F55">
        <w:rPr>
          <w:rFonts w:ascii="Arial" w:hAnsi="Arial" w:cs="Arial"/>
          <w:b/>
          <w:sz w:val="28"/>
          <w:szCs w:val="28"/>
        </w:rPr>
        <w:t>OXFORDSHIRE HOUSING AND GROWTH DEAL</w:t>
      </w:r>
    </w:p>
    <w:p w14:paraId="7D1721DC" w14:textId="77777777" w:rsidR="005824CC" w:rsidRPr="003048F2" w:rsidRDefault="005824CC" w:rsidP="003048F2">
      <w:pPr>
        <w:jc w:val="both"/>
        <w:rPr>
          <w:rFonts w:ascii="Arial" w:hAnsi="Arial" w:cs="Arial"/>
          <w:szCs w:val="24"/>
        </w:rPr>
      </w:pPr>
    </w:p>
    <w:p w14:paraId="7B7AEF80" w14:textId="77777777" w:rsidR="00C5447E" w:rsidRPr="00901F55" w:rsidRDefault="00F148BC" w:rsidP="004C4B90">
      <w:pPr>
        <w:pStyle w:val="Heading1"/>
        <w:numPr>
          <w:ilvl w:val="0"/>
          <w:numId w:val="0"/>
        </w:numPr>
        <w:spacing w:before="0" w:after="0"/>
        <w:ind w:left="360" w:hanging="360"/>
        <w:jc w:val="both"/>
        <w:rPr>
          <w:rFonts w:ascii="Arial" w:hAnsi="Arial" w:cs="Arial"/>
          <w:sz w:val="22"/>
          <w:szCs w:val="22"/>
        </w:rPr>
      </w:pPr>
      <w:r w:rsidRPr="00901F55">
        <w:rPr>
          <w:rFonts w:ascii="Arial" w:hAnsi="Arial" w:cs="Arial"/>
          <w:sz w:val="22"/>
          <w:szCs w:val="22"/>
        </w:rPr>
        <w:t xml:space="preserve">Report </w:t>
      </w:r>
      <w:r w:rsidR="00F278AE" w:rsidRPr="00901F55">
        <w:rPr>
          <w:rFonts w:ascii="Arial" w:hAnsi="Arial" w:cs="Arial"/>
          <w:sz w:val="22"/>
          <w:szCs w:val="22"/>
        </w:rPr>
        <w:t>PURPOSE</w:t>
      </w:r>
    </w:p>
    <w:p w14:paraId="364307FF" w14:textId="77777777" w:rsidR="003C70DF" w:rsidRPr="00901F55" w:rsidRDefault="003C70DF" w:rsidP="003048F2">
      <w:pPr>
        <w:ind w:left="426" w:hanging="426"/>
        <w:jc w:val="both"/>
        <w:rPr>
          <w:rFonts w:ascii="Arial" w:hAnsi="Arial" w:cs="Arial"/>
          <w:sz w:val="22"/>
          <w:szCs w:val="22"/>
        </w:rPr>
      </w:pPr>
    </w:p>
    <w:p w14:paraId="44969D46" w14:textId="77777777" w:rsidR="008E27FC" w:rsidRPr="00901F55" w:rsidRDefault="005D24EA" w:rsidP="00B76E42">
      <w:pPr>
        <w:pStyle w:val="ListParagraph"/>
        <w:numPr>
          <w:ilvl w:val="0"/>
          <w:numId w:val="2"/>
        </w:numPr>
        <w:jc w:val="both"/>
        <w:rPr>
          <w:rFonts w:ascii="Arial" w:hAnsi="Arial" w:cs="Arial"/>
          <w:sz w:val="22"/>
          <w:szCs w:val="22"/>
        </w:rPr>
      </w:pPr>
      <w:r w:rsidRPr="00901F55">
        <w:rPr>
          <w:rFonts w:ascii="Arial" w:hAnsi="Arial" w:cs="Arial"/>
          <w:sz w:val="22"/>
          <w:szCs w:val="22"/>
        </w:rPr>
        <w:t>T</w:t>
      </w:r>
      <w:r w:rsidR="00070217" w:rsidRPr="00901F55">
        <w:rPr>
          <w:rFonts w:ascii="Arial" w:hAnsi="Arial" w:cs="Arial"/>
          <w:sz w:val="22"/>
          <w:szCs w:val="22"/>
        </w:rPr>
        <w:t>he purpose of this report is t</w:t>
      </w:r>
      <w:r w:rsidRPr="00901F55">
        <w:rPr>
          <w:rFonts w:ascii="Arial" w:hAnsi="Arial" w:cs="Arial"/>
          <w:sz w:val="22"/>
          <w:szCs w:val="22"/>
        </w:rPr>
        <w:t xml:space="preserve">o </w:t>
      </w:r>
      <w:r w:rsidR="00B708F5" w:rsidRPr="00901F55">
        <w:rPr>
          <w:rFonts w:ascii="Arial" w:hAnsi="Arial" w:cs="Arial"/>
          <w:sz w:val="22"/>
          <w:szCs w:val="22"/>
        </w:rPr>
        <w:t xml:space="preserve">update the Board on progress with </w:t>
      </w:r>
      <w:r w:rsidR="008E27FC" w:rsidRPr="00901F55">
        <w:rPr>
          <w:rFonts w:ascii="Arial" w:hAnsi="Arial" w:cs="Arial"/>
          <w:sz w:val="22"/>
          <w:szCs w:val="22"/>
        </w:rPr>
        <w:t>the</w:t>
      </w:r>
      <w:r w:rsidRPr="00901F55">
        <w:rPr>
          <w:rFonts w:ascii="Arial" w:hAnsi="Arial" w:cs="Arial"/>
          <w:sz w:val="22"/>
          <w:szCs w:val="22"/>
        </w:rPr>
        <w:t xml:space="preserve"> Oxfordshire Housing and Growth Deal </w:t>
      </w:r>
      <w:r w:rsidR="008E27FC" w:rsidRPr="00901F55">
        <w:rPr>
          <w:rFonts w:ascii="Arial" w:hAnsi="Arial" w:cs="Arial"/>
          <w:sz w:val="22"/>
          <w:szCs w:val="22"/>
        </w:rPr>
        <w:t>(the Deal)</w:t>
      </w:r>
      <w:r w:rsidR="006E3D4E" w:rsidRPr="00901F55">
        <w:rPr>
          <w:rFonts w:ascii="Arial" w:hAnsi="Arial" w:cs="Arial"/>
          <w:sz w:val="22"/>
          <w:szCs w:val="22"/>
        </w:rPr>
        <w:t>,</w:t>
      </w:r>
      <w:r w:rsidR="009F53D2" w:rsidRPr="00901F55">
        <w:rPr>
          <w:rFonts w:ascii="Arial" w:hAnsi="Arial" w:cs="Arial"/>
          <w:sz w:val="22"/>
          <w:szCs w:val="22"/>
        </w:rPr>
        <w:t xml:space="preserve"> </w:t>
      </w:r>
      <w:r w:rsidR="00B708F5" w:rsidRPr="00901F55">
        <w:rPr>
          <w:rFonts w:ascii="Arial" w:hAnsi="Arial" w:cs="Arial"/>
          <w:sz w:val="22"/>
          <w:szCs w:val="22"/>
        </w:rPr>
        <w:t>agreed between Government and the Oxfordshire partners earlier this year</w:t>
      </w:r>
      <w:r w:rsidR="00E259C0">
        <w:rPr>
          <w:rFonts w:ascii="Arial" w:hAnsi="Arial" w:cs="Arial"/>
          <w:sz w:val="22"/>
          <w:szCs w:val="22"/>
        </w:rPr>
        <w:t xml:space="preserve"> and to s</w:t>
      </w:r>
      <w:r w:rsidR="009273C9">
        <w:rPr>
          <w:rFonts w:ascii="Arial" w:hAnsi="Arial" w:cs="Arial"/>
          <w:sz w:val="22"/>
          <w:szCs w:val="22"/>
        </w:rPr>
        <w:t>e</w:t>
      </w:r>
      <w:r w:rsidR="00E259C0">
        <w:rPr>
          <w:rFonts w:ascii="Arial" w:hAnsi="Arial" w:cs="Arial"/>
          <w:sz w:val="22"/>
          <w:szCs w:val="22"/>
        </w:rPr>
        <w:t xml:space="preserve">ek approval of the year one programmes for infrastructure and affordable housing. </w:t>
      </w:r>
    </w:p>
    <w:p w14:paraId="611C65E3" w14:textId="77777777" w:rsidR="008E27FC" w:rsidRPr="00901F55" w:rsidRDefault="008E27FC" w:rsidP="003048F2">
      <w:pPr>
        <w:ind w:left="426" w:hanging="426"/>
        <w:jc w:val="both"/>
        <w:rPr>
          <w:rFonts w:ascii="Arial" w:hAnsi="Arial" w:cs="Arial"/>
          <w:sz w:val="22"/>
          <w:szCs w:val="22"/>
        </w:rPr>
      </w:pPr>
    </w:p>
    <w:p w14:paraId="197D9F0B" w14:textId="77777777" w:rsidR="005D4AB8" w:rsidRPr="005D4AB8" w:rsidRDefault="008E27FC" w:rsidP="00B76E42">
      <w:pPr>
        <w:pStyle w:val="ListParagraph"/>
        <w:numPr>
          <w:ilvl w:val="0"/>
          <w:numId w:val="2"/>
        </w:numPr>
        <w:jc w:val="both"/>
        <w:rPr>
          <w:rFonts w:ascii="Arial" w:hAnsi="Arial" w:cs="Arial"/>
          <w:sz w:val="22"/>
          <w:szCs w:val="22"/>
        </w:rPr>
      </w:pPr>
      <w:r w:rsidRPr="005D4AB8">
        <w:rPr>
          <w:rFonts w:ascii="Arial" w:hAnsi="Arial" w:cs="Arial"/>
          <w:sz w:val="22"/>
          <w:szCs w:val="22"/>
        </w:rPr>
        <w:t xml:space="preserve">The Deal </w:t>
      </w:r>
      <w:r w:rsidR="005824CC" w:rsidRPr="005D4AB8">
        <w:rPr>
          <w:rFonts w:ascii="Arial" w:hAnsi="Arial" w:cs="Arial"/>
          <w:sz w:val="22"/>
          <w:szCs w:val="22"/>
        </w:rPr>
        <w:t>provides £215 million of additional government funding for Oxfordshire</w:t>
      </w:r>
      <w:r w:rsidR="005D24EA" w:rsidRPr="005D4AB8">
        <w:rPr>
          <w:rFonts w:ascii="Arial" w:hAnsi="Arial" w:cs="Arial"/>
          <w:sz w:val="22"/>
          <w:szCs w:val="22"/>
        </w:rPr>
        <w:t xml:space="preserve">, </w:t>
      </w:r>
      <w:r w:rsidRPr="005D4AB8">
        <w:rPr>
          <w:rFonts w:ascii="Arial" w:hAnsi="Arial" w:cs="Arial"/>
          <w:sz w:val="22"/>
          <w:szCs w:val="22"/>
        </w:rPr>
        <w:t xml:space="preserve">to deliver </w:t>
      </w:r>
      <w:r w:rsidR="00593B98" w:rsidRPr="005D4AB8">
        <w:rPr>
          <w:rFonts w:ascii="Arial" w:hAnsi="Arial" w:cs="Arial"/>
          <w:sz w:val="22"/>
          <w:szCs w:val="22"/>
        </w:rPr>
        <w:t xml:space="preserve">the </w:t>
      </w:r>
      <w:r w:rsidRPr="005D4AB8">
        <w:rPr>
          <w:rFonts w:ascii="Arial" w:hAnsi="Arial" w:cs="Arial"/>
          <w:sz w:val="22"/>
          <w:szCs w:val="22"/>
        </w:rPr>
        <w:t xml:space="preserve">key infrastructure required to </w:t>
      </w:r>
      <w:r w:rsidR="005D4AB8" w:rsidRPr="005D4AB8">
        <w:rPr>
          <w:rFonts w:ascii="Arial" w:hAnsi="Arial" w:cs="Arial"/>
          <w:sz w:val="22"/>
          <w:szCs w:val="22"/>
        </w:rPr>
        <w:t>bring forward p</w:t>
      </w:r>
      <w:r w:rsidRPr="005D4AB8">
        <w:rPr>
          <w:rFonts w:ascii="Arial" w:hAnsi="Arial" w:cs="Arial"/>
          <w:sz w:val="22"/>
          <w:szCs w:val="22"/>
        </w:rPr>
        <w:t xml:space="preserve">roposed housing development, </w:t>
      </w:r>
      <w:r w:rsidR="005D4AB8" w:rsidRPr="005D4AB8">
        <w:rPr>
          <w:rFonts w:ascii="Arial" w:hAnsi="Arial" w:cs="Arial"/>
          <w:sz w:val="22"/>
          <w:szCs w:val="22"/>
        </w:rPr>
        <w:t xml:space="preserve">together </w:t>
      </w:r>
      <w:r w:rsidR="00BA070B" w:rsidRPr="005D4AB8">
        <w:rPr>
          <w:rFonts w:ascii="Arial" w:hAnsi="Arial" w:cs="Arial"/>
          <w:sz w:val="22"/>
          <w:szCs w:val="22"/>
        </w:rPr>
        <w:t>with additional</w:t>
      </w:r>
      <w:r w:rsidRPr="005D4AB8">
        <w:rPr>
          <w:rFonts w:ascii="Arial" w:hAnsi="Arial" w:cs="Arial"/>
          <w:sz w:val="22"/>
          <w:szCs w:val="22"/>
        </w:rPr>
        <w:t xml:space="preserve"> funds to increase the supply of affordable housing</w:t>
      </w:r>
      <w:r w:rsidR="00593B98" w:rsidRPr="005D4AB8">
        <w:rPr>
          <w:rFonts w:ascii="Arial" w:hAnsi="Arial" w:cs="Arial"/>
          <w:sz w:val="22"/>
          <w:szCs w:val="22"/>
        </w:rPr>
        <w:t>. In addition</w:t>
      </w:r>
      <w:r w:rsidR="00A91BD5" w:rsidRPr="005D4AB8">
        <w:rPr>
          <w:rFonts w:ascii="Arial" w:hAnsi="Arial" w:cs="Arial"/>
          <w:sz w:val="22"/>
          <w:szCs w:val="22"/>
        </w:rPr>
        <w:t>,</w:t>
      </w:r>
      <w:r w:rsidR="00593B98" w:rsidRPr="005D4AB8">
        <w:rPr>
          <w:rFonts w:ascii="Arial" w:hAnsi="Arial" w:cs="Arial"/>
          <w:sz w:val="22"/>
          <w:szCs w:val="22"/>
        </w:rPr>
        <w:t xml:space="preserve"> the Deal provides</w:t>
      </w:r>
      <w:r w:rsidR="009F53D2" w:rsidRPr="005D4AB8">
        <w:rPr>
          <w:rFonts w:ascii="Arial" w:hAnsi="Arial" w:cs="Arial"/>
          <w:sz w:val="22"/>
          <w:szCs w:val="22"/>
        </w:rPr>
        <w:t xml:space="preserve"> a</w:t>
      </w:r>
      <w:r w:rsidR="005D24EA" w:rsidRPr="005D4AB8">
        <w:rPr>
          <w:rFonts w:ascii="Arial" w:hAnsi="Arial" w:cs="Arial"/>
          <w:sz w:val="22"/>
          <w:szCs w:val="22"/>
        </w:rPr>
        <w:t xml:space="preserve"> package of planning freedoms and flexibilities for the Oxfordshire </w:t>
      </w:r>
      <w:r w:rsidR="00593B98" w:rsidRPr="005D4AB8">
        <w:rPr>
          <w:rFonts w:ascii="Arial" w:hAnsi="Arial" w:cs="Arial"/>
          <w:sz w:val="22"/>
          <w:szCs w:val="22"/>
        </w:rPr>
        <w:t>Local Planning A</w:t>
      </w:r>
      <w:r w:rsidR="005D24EA" w:rsidRPr="005D4AB8">
        <w:rPr>
          <w:rFonts w:ascii="Arial" w:hAnsi="Arial" w:cs="Arial"/>
          <w:sz w:val="22"/>
          <w:szCs w:val="22"/>
        </w:rPr>
        <w:t>uthorities</w:t>
      </w:r>
      <w:r w:rsidRPr="005D4AB8">
        <w:rPr>
          <w:rFonts w:ascii="Arial" w:hAnsi="Arial" w:cs="Arial"/>
          <w:sz w:val="22"/>
          <w:szCs w:val="22"/>
        </w:rPr>
        <w:t xml:space="preserve"> that will offer protection from speculative development whilst we complete a countywide </w:t>
      </w:r>
      <w:r w:rsidR="00593B98" w:rsidRPr="005D4AB8">
        <w:rPr>
          <w:rFonts w:ascii="Arial" w:hAnsi="Arial" w:cs="Arial"/>
          <w:sz w:val="22"/>
          <w:szCs w:val="22"/>
        </w:rPr>
        <w:t>J</w:t>
      </w:r>
      <w:r w:rsidRPr="005D4AB8">
        <w:rPr>
          <w:rFonts w:ascii="Arial" w:hAnsi="Arial" w:cs="Arial"/>
          <w:sz w:val="22"/>
          <w:szCs w:val="22"/>
        </w:rPr>
        <w:t>oint Statutory Spatial Plan to 2050</w:t>
      </w:r>
      <w:r w:rsidR="00835CEE" w:rsidRPr="005D4AB8">
        <w:rPr>
          <w:rFonts w:ascii="Arial" w:hAnsi="Arial" w:cs="Arial"/>
          <w:sz w:val="22"/>
          <w:szCs w:val="22"/>
        </w:rPr>
        <w:t>.</w:t>
      </w:r>
      <w:r w:rsidR="005D4AB8" w:rsidRPr="005D4AB8">
        <w:t xml:space="preserve"> </w:t>
      </w:r>
      <w:r w:rsidR="00BA070B" w:rsidRPr="005D4AB8">
        <w:rPr>
          <w:rFonts w:ascii="Arial" w:hAnsi="Arial" w:cs="Arial"/>
          <w:sz w:val="22"/>
          <w:szCs w:val="22"/>
        </w:rPr>
        <w:t>Finally,</w:t>
      </w:r>
      <w:r w:rsidR="005D4AB8" w:rsidRPr="005D4AB8">
        <w:rPr>
          <w:rFonts w:ascii="Arial" w:hAnsi="Arial" w:cs="Arial"/>
          <w:sz w:val="22"/>
          <w:szCs w:val="22"/>
        </w:rPr>
        <w:t xml:space="preserve"> the Deal provides funding to secure economic growth in key industry sectors designed to enable a step change in economic growth.</w:t>
      </w:r>
    </w:p>
    <w:p w14:paraId="034B19DA" w14:textId="77777777" w:rsidR="008E27FC" w:rsidRPr="00901F55" w:rsidRDefault="008E27FC" w:rsidP="003048F2">
      <w:pPr>
        <w:ind w:left="426" w:hanging="426"/>
        <w:jc w:val="both"/>
        <w:rPr>
          <w:rFonts w:ascii="Arial" w:hAnsi="Arial" w:cs="Arial"/>
          <w:sz w:val="22"/>
          <w:szCs w:val="22"/>
        </w:rPr>
      </w:pPr>
    </w:p>
    <w:p w14:paraId="732B8427" w14:textId="77777777" w:rsidR="008E27FC" w:rsidRPr="00901F55" w:rsidRDefault="00835CEE" w:rsidP="00B76E42">
      <w:pPr>
        <w:pStyle w:val="ListParagraph"/>
        <w:numPr>
          <w:ilvl w:val="0"/>
          <w:numId w:val="2"/>
        </w:numPr>
        <w:jc w:val="both"/>
        <w:rPr>
          <w:rFonts w:ascii="Arial" w:hAnsi="Arial" w:cs="Arial"/>
          <w:sz w:val="22"/>
          <w:szCs w:val="22"/>
        </w:rPr>
      </w:pPr>
      <w:r w:rsidRPr="00901F55">
        <w:rPr>
          <w:rFonts w:ascii="Arial" w:hAnsi="Arial" w:cs="Arial"/>
          <w:sz w:val="22"/>
          <w:szCs w:val="22"/>
        </w:rPr>
        <w:t xml:space="preserve">The outline agreement </w:t>
      </w:r>
      <w:r w:rsidR="00B708F5" w:rsidRPr="00901F55">
        <w:rPr>
          <w:rFonts w:ascii="Arial" w:hAnsi="Arial" w:cs="Arial"/>
          <w:sz w:val="22"/>
          <w:szCs w:val="22"/>
        </w:rPr>
        <w:t xml:space="preserve">set a number of key milestones </w:t>
      </w:r>
      <w:r w:rsidR="00070217" w:rsidRPr="00901F55">
        <w:rPr>
          <w:rFonts w:ascii="Arial" w:hAnsi="Arial" w:cs="Arial"/>
          <w:sz w:val="22"/>
          <w:szCs w:val="22"/>
        </w:rPr>
        <w:t xml:space="preserve">places the </w:t>
      </w:r>
      <w:r w:rsidR="008E27FC" w:rsidRPr="00901F55">
        <w:rPr>
          <w:rFonts w:ascii="Arial" w:hAnsi="Arial" w:cs="Arial"/>
          <w:sz w:val="22"/>
          <w:szCs w:val="22"/>
        </w:rPr>
        <w:t>Growth Board at the heart of the delivery regime for</w:t>
      </w:r>
      <w:r w:rsidR="00070217" w:rsidRPr="00901F55">
        <w:rPr>
          <w:rFonts w:ascii="Arial" w:hAnsi="Arial" w:cs="Arial"/>
          <w:sz w:val="22"/>
          <w:szCs w:val="22"/>
        </w:rPr>
        <w:t xml:space="preserve"> the D</w:t>
      </w:r>
      <w:r w:rsidR="008E27FC" w:rsidRPr="00901F55">
        <w:rPr>
          <w:rFonts w:ascii="Arial" w:hAnsi="Arial" w:cs="Arial"/>
          <w:sz w:val="22"/>
          <w:szCs w:val="22"/>
        </w:rPr>
        <w:t xml:space="preserve">eal </w:t>
      </w:r>
      <w:r w:rsidR="00B708F5" w:rsidRPr="00901F55">
        <w:rPr>
          <w:rFonts w:ascii="Arial" w:hAnsi="Arial" w:cs="Arial"/>
          <w:sz w:val="22"/>
          <w:szCs w:val="22"/>
        </w:rPr>
        <w:t>and this report updates on pr</w:t>
      </w:r>
      <w:r w:rsidR="009273C9">
        <w:rPr>
          <w:rFonts w:ascii="Arial" w:hAnsi="Arial" w:cs="Arial"/>
          <w:sz w:val="22"/>
          <w:szCs w:val="22"/>
        </w:rPr>
        <w:t xml:space="preserve">ogress towards these milestones, provides detail on the year one infrastructure and affordable housing programmes and seeks the Board’s approval for these </w:t>
      </w:r>
    </w:p>
    <w:p w14:paraId="6779C2B4" w14:textId="77777777" w:rsidR="008E27FC" w:rsidRPr="00901F55" w:rsidRDefault="008E27FC" w:rsidP="003048F2">
      <w:pPr>
        <w:ind w:left="426" w:hanging="426"/>
        <w:jc w:val="both"/>
        <w:rPr>
          <w:rFonts w:ascii="Arial" w:hAnsi="Arial" w:cs="Arial"/>
          <w:sz w:val="22"/>
          <w:szCs w:val="22"/>
        </w:rPr>
      </w:pPr>
    </w:p>
    <w:p w14:paraId="452F71F2" w14:textId="77777777" w:rsidR="005824CC" w:rsidRPr="00901F55" w:rsidRDefault="005824CC" w:rsidP="004C4B90">
      <w:pPr>
        <w:ind w:left="426" w:firstLine="39"/>
        <w:jc w:val="both"/>
        <w:rPr>
          <w:rFonts w:ascii="Arial" w:hAnsi="Arial" w:cs="Arial"/>
          <w:sz w:val="22"/>
          <w:szCs w:val="22"/>
        </w:rPr>
      </w:pPr>
    </w:p>
    <w:p w14:paraId="483322BC" w14:textId="77777777" w:rsidR="00C5447E" w:rsidRPr="00901F55" w:rsidRDefault="00A47029" w:rsidP="004C4B90">
      <w:pPr>
        <w:pStyle w:val="Heading1"/>
        <w:numPr>
          <w:ilvl w:val="0"/>
          <w:numId w:val="0"/>
        </w:numPr>
        <w:spacing w:before="0" w:after="0"/>
        <w:ind w:left="360" w:hanging="360"/>
        <w:jc w:val="both"/>
        <w:rPr>
          <w:rFonts w:ascii="Arial" w:hAnsi="Arial" w:cs="Arial"/>
          <w:sz w:val="22"/>
          <w:szCs w:val="22"/>
        </w:rPr>
      </w:pPr>
      <w:bookmarkStart w:id="0" w:name="_Ref497737988"/>
      <w:r w:rsidRPr="00901F55">
        <w:rPr>
          <w:rFonts w:ascii="Arial" w:hAnsi="Arial" w:cs="Arial"/>
          <w:sz w:val="22"/>
          <w:szCs w:val="22"/>
        </w:rPr>
        <w:t>RECOMMENDATION</w:t>
      </w:r>
      <w:r w:rsidR="00DE20DC" w:rsidRPr="00901F55">
        <w:rPr>
          <w:rFonts w:ascii="Arial" w:hAnsi="Arial" w:cs="Arial"/>
          <w:sz w:val="22"/>
          <w:szCs w:val="22"/>
        </w:rPr>
        <w:t>S</w:t>
      </w:r>
      <w:bookmarkEnd w:id="0"/>
      <w:r w:rsidR="002B5663" w:rsidRPr="00901F55">
        <w:rPr>
          <w:rFonts w:ascii="Arial" w:hAnsi="Arial" w:cs="Arial"/>
          <w:sz w:val="22"/>
          <w:szCs w:val="22"/>
        </w:rPr>
        <w:t xml:space="preserve"> </w:t>
      </w:r>
    </w:p>
    <w:p w14:paraId="6CC86D9F" w14:textId="77777777" w:rsidR="00032551" w:rsidRDefault="00032551" w:rsidP="003048F2">
      <w:pPr>
        <w:pStyle w:val="ReportPara"/>
        <w:numPr>
          <w:ilvl w:val="0"/>
          <w:numId w:val="0"/>
        </w:numPr>
        <w:spacing w:after="0"/>
        <w:ind w:left="1142"/>
        <w:rPr>
          <w:rFonts w:ascii="Arial" w:eastAsiaTheme="minorHAnsi" w:hAnsi="Arial" w:cs="Arial"/>
          <w:color w:val="FF0000"/>
          <w:sz w:val="22"/>
          <w:szCs w:val="22"/>
        </w:rPr>
      </w:pPr>
    </w:p>
    <w:p w14:paraId="6022591B" w14:textId="77777777" w:rsidR="003048F2" w:rsidRPr="0050281B" w:rsidRDefault="009273C9" w:rsidP="009273C9">
      <w:pPr>
        <w:pStyle w:val="ReportPara"/>
        <w:numPr>
          <w:ilvl w:val="0"/>
          <w:numId w:val="6"/>
        </w:numPr>
        <w:spacing w:after="0"/>
        <w:rPr>
          <w:rFonts w:ascii="Arial" w:eastAsiaTheme="minorHAnsi" w:hAnsi="Arial" w:cs="Arial"/>
          <w:i/>
          <w:sz w:val="22"/>
          <w:szCs w:val="22"/>
        </w:rPr>
      </w:pPr>
      <w:r w:rsidRPr="0050281B">
        <w:rPr>
          <w:rFonts w:ascii="Arial" w:eastAsiaTheme="minorHAnsi" w:hAnsi="Arial" w:cs="Arial"/>
          <w:i/>
          <w:sz w:val="22"/>
          <w:szCs w:val="22"/>
        </w:rPr>
        <w:t>That the Growth Board note the progress towards the Housing and Growth Deal Milestones as set out in the Delivery Plan</w:t>
      </w:r>
    </w:p>
    <w:p w14:paraId="20C153D3" w14:textId="77777777" w:rsidR="009273C9" w:rsidRPr="0050281B" w:rsidRDefault="009273C9" w:rsidP="009273C9">
      <w:pPr>
        <w:pStyle w:val="ReportPara"/>
        <w:numPr>
          <w:ilvl w:val="0"/>
          <w:numId w:val="0"/>
        </w:numPr>
        <w:spacing w:after="0"/>
        <w:ind w:left="567"/>
        <w:rPr>
          <w:rFonts w:ascii="Arial" w:eastAsiaTheme="minorHAnsi" w:hAnsi="Arial" w:cs="Arial"/>
          <w:i/>
          <w:sz w:val="22"/>
          <w:szCs w:val="22"/>
        </w:rPr>
      </w:pPr>
    </w:p>
    <w:p w14:paraId="33B99886" w14:textId="77777777" w:rsidR="009273C9" w:rsidRPr="0050281B" w:rsidRDefault="009273C9" w:rsidP="009273C9">
      <w:pPr>
        <w:pStyle w:val="ReportPara"/>
        <w:numPr>
          <w:ilvl w:val="0"/>
          <w:numId w:val="6"/>
        </w:numPr>
        <w:spacing w:after="0"/>
        <w:rPr>
          <w:rFonts w:ascii="Arial" w:eastAsiaTheme="minorHAnsi" w:hAnsi="Arial" w:cs="Arial"/>
          <w:i/>
          <w:sz w:val="22"/>
          <w:szCs w:val="22"/>
        </w:rPr>
      </w:pPr>
      <w:r w:rsidRPr="0050281B">
        <w:rPr>
          <w:rFonts w:ascii="Arial" w:eastAsiaTheme="minorHAnsi" w:hAnsi="Arial" w:cs="Arial"/>
          <w:i/>
          <w:sz w:val="22"/>
          <w:szCs w:val="22"/>
        </w:rPr>
        <w:t xml:space="preserve">That the </w:t>
      </w:r>
      <w:r w:rsidR="0050281B">
        <w:rPr>
          <w:rFonts w:ascii="Arial" w:eastAsiaTheme="minorHAnsi" w:hAnsi="Arial" w:cs="Arial"/>
          <w:i/>
          <w:sz w:val="22"/>
          <w:szCs w:val="22"/>
        </w:rPr>
        <w:t xml:space="preserve">Growth </w:t>
      </w:r>
      <w:r w:rsidRPr="0050281B">
        <w:rPr>
          <w:rFonts w:ascii="Arial" w:eastAsiaTheme="minorHAnsi" w:hAnsi="Arial" w:cs="Arial"/>
          <w:i/>
          <w:sz w:val="22"/>
          <w:szCs w:val="22"/>
        </w:rPr>
        <w:t xml:space="preserve">Board </w:t>
      </w:r>
      <w:r w:rsidR="0050281B" w:rsidRPr="0050281B">
        <w:rPr>
          <w:rFonts w:ascii="Arial" w:eastAsiaTheme="minorHAnsi" w:hAnsi="Arial" w:cs="Arial"/>
          <w:i/>
          <w:sz w:val="22"/>
          <w:szCs w:val="22"/>
        </w:rPr>
        <w:t>endorses the year one programmes for affordable housing and infrastructure delivery as agreed by the Oxfordshire Partners.</w:t>
      </w:r>
      <w:r w:rsidRPr="0050281B">
        <w:rPr>
          <w:rFonts w:ascii="Arial" w:eastAsiaTheme="minorHAnsi" w:hAnsi="Arial" w:cs="Arial"/>
          <w:i/>
          <w:sz w:val="22"/>
          <w:szCs w:val="22"/>
        </w:rPr>
        <w:t xml:space="preserve"> </w:t>
      </w:r>
    </w:p>
    <w:p w14:paraId="721D2278" w14:textId="77777777" w:rsidR="00D80F66" w:rsidRPr="00901F55" w:rsidRDefault="00D80F66" w:rsidP="003048F2">
      <w:pPr>
        <w:pStyle w:val="ReportPara"/>
        <w:numPr>
          <w:ilvl w:val="0"/>
          <w:numId w:val="0"/>
        </w:numPr>
        <w:spacing w:after="0"/>
        <w:ind w:left="1142"/>
        <w:rPr>
          <w:rFonts w:ascii="Arial" w:eastAsiaTheme="minorHAnsi" w:hAnsi="Arial" w:cs="Arial"/>
          <w:sz w:val="22"/>
          <w:szCs w:val="22"/>
        </w:rPr>
      </w:pPr>
    </w:p>
    <w:p w14:paraId="62C054F8" w14:textId="77777777" w:rsidR="00C5447E" w:rsidRPr="00901F55" w:rsidRDefault="00F278AE" w:rsidP="004C4B90">
      <w:pPr>
        <w:pStyle w:val="Heading1"/>
        <w:numPr>
          <w:ilvl w:val="0"/>
          <w:numId w:val="0"/>
        </w:numPr>
        <w:spacing w:before="0" w:after="0"/>
        <w:ind w:left="360" w:hanging="360"/>
        <w:jc w:val="both"/>
        <w:rPr>
          <w:rFonts w:ascii="Arial" w:hAnsi="Arial" w:cs="Arial"/>
          <w:sz w:val="22"/>
          <w:szCs w:val="22"/>
        </w:rPr>
      </w:pPr>
      <w:r w:rsidRPr="00901F55">
        <w:rPr>
          <w:rFonts w:ascii="Arial" w:hAnsi="Arial" w:cs="Arial"/>
          <w:sz w:val="22"/>
          <w:szCs w:val="22"/>
        </w:rPr>
        <w:t>BACKGROUND</w:t>
      </w:r>
    </w:p>
    <w:p w14:paraId="0788A635" w14:textId="77777777" w:rsidR="003048F2" w:rsidRPr="00901F55" w:rsidRDefault="003048F2" w:rsidP="003048F2">
      <w:pPr>
        <w:pStyle w:val="ReportPara"/>
        <w:numPr>
          <w:ilvl w:val="0"/>
          <w:numId w:val="0"/>
        </w:numPr>
        <w:tabs>
          <w:tab w:val="num" w:pos="1134"/>
          <w:tab w:val="num" w:pos="1283"/>
        </w:tabs>
        <w:spacing w:after="0"/>
        <w:ind w:left="1080"/>
        <w:jc w:val="both"/>
        <w:rPr>
          <w:rFonts w:ascii="Arial" w:hAnsi="Arial" w:cs="Arial"/>
          <w:sz w:val="22"/>
          <w:szCs w:val="22"/>
        </w:rPr>
      </w:pPr>
    </w:p>
    <w:p w14:paraId="205CF940" w14:textId="77777777" w:rsidR="003048F2" w:rsidRPr="00901F55" w:rsidRDefault="005D4AB8" w:rsidP="00B76E42">
      <w:pPr>
        <w:pStyle w:val="ReportPara"/>
        <w:numPr>
          <w:ilvl w:val="0"/>
          <w:numId w:val="2"/>
        </w:numPr>
        <w:tabs>
          <w:tab w:val="num" w:pos="426"/>
        </w:tabs>
        <w:spacing w:after="0"/>
        <w:jc w:val="both"/>
        <w:rPr>
          <w:rFonts w:ascii="Arial" w:hAnsi="Arial" w:cs="Arial"/>
          <w:sz w:val="22"/>
          <w:szCs w:val="22"/>
        </w:rPr>
      </w:pPr>
      <w:r>
        <w:rPr>
          <w:rFonts w:ascii="Arial" w:hAnsi="Arial" w:cs="Arial"/>
          <w:sz w:val="22"/>
          <w:szCs w:val="22"/>
        </w:rPr>
        <w:t xml:space="preserve">Integral to the management of the deal is the </w:t>
      </w:r>
      <w:r w:rsidR="002B5663" w:rsidRPr="00901F55">
        <w:rPr>
          <w:rFonts w:ascii="Arial" w:hAnsi="Arial" w:cs="Arial"/>
          <w:sz w:val="22"/>
          <w:szCs w:val="22"/>
        </w:rPr>
        <w:t xml:space="preserve">Delivery </w:t>
      </w:r>
      <w:r w:rsidR="00BA070B" w:rsidRPr="00901F55">
        <w:rPr>
          <w:rFonts w:ascii="Arial" w:hAnsi="Arial" w:cs="Arial"/>
          <w:sz w:val="22"/>
          <w:szCs w:val="22"/>
        </w:rPr>
        <w:t>Plan, which</w:t>
      </w:r>
      <w:r>
        <w:rPr>
          <w:rFonts w:ascii="Arial" w:hAnsi="Arial" w:cs="Arial"/>
          <w:sz w:val="22"/>
          <w:szCs w:val="22"/>
        </w:rPr>
        <w:t xml:space="preserve"> sets </w:t>
      </w:r>
      <w:r w:rsidR="00D80F66" w:rsidRPr="00901F55">
        <w:rPr>
          <w:rFonts w:ascii="Arial" w:hAnsi="Arial" w:cs="Arial"/>
          <w:sz w:val="22"/>
          <w:szCs w:val="22"/>
        </w:rPr>
        <w:t xml:space="preserve">out the key milestones and </w:t>
      </w:r>
      <w:r w:rsidR="00F21AE4" w:rsidRPr="00901F55">
        <w:rPr>
          <w:rFonts w:ascii="Arial" w:hAnsi="Arial" w:cs="Arial"/>
          <w:sz w:val="22"/>
          <w:szCs w:val="22"/>
        </w:rPr>
        <w:t>targets</w:t>
      </w:r>
      <w:r w:rsidR="00D80F66" w:rsidRPr="00901F55">
        <w:rPr>
          <w:rFonts w:ascii="Arial" w:hAnsi="Arial" w:cs="Arial"/>
          <w:sz w:val="22"/>
          <w:szCs w:val="22"/>
        </w:rPr>
        <w:t xml:space="preserve"> </w:t>
      </w:r>
      <w:r w:rsidR="00F21AE4" w:rsidRPr="00901F55">
        <w:rPr>
          <w:rFonts w:ascii="Arial" w:hAnsi="Arial" w:cs="Arial"/>
          <w:sz w:val="22"/>
          <w:szCs w:val="22"/>
        </w:rPr>
        <w:t>for each element of the Deal upon which G</w:t>
      </w:r>
      <w:r w:rsidR="00D80F66" w:rsidRPr="00901F55">
        <w:rPr>
          <w:rFonts w:ascii="Arial" w:hAnsi="Arial" w:cs="Arial"/>
          <w:sz w:val="22"/>
          <w:szCs w:val="22"/>
        </w:rPr>
        <w:t>overnment funding will be dependant</w:t>
      </w:r>
      <w:r w:rsidR="00F21AE4" w:rsidRPr="00901F55">
        <w:rPr>
          <w:rFonts w:ascii="Arial" w:hAnsi="Arial" w:cs="Arial"/>
          <w:sz w:val="22"/>
          <w:szCs w:val="22"/>
        </w:rPr>
        <w:t>.</w:t>
      </w:r>
      <w:r w:rsidR="00D80F66" w:rsidRPr="00901F55">
        <w:rPr>
          <w:rFonts w:ascii="Arial" w:hAnsi="Arial" w:cs="Arial"/>
          <w:sz w:val="22"/>
          <w:szCs w:val="22"/>
        </w:rPr>
        <w:t xml:space="preserve"> </w:t>
      </w:r>
      <w:bookmarkStart w:id="1" w:name="_Ref497737596"/>
    </w:p>
    <w:p w14:paraId="29D2D65B" w14:textId="77777777" w:rsidR="00DA46BD" w:rsidRPr="00901F55" w:rsidRDefault="00DA46BD" w:rsidP="00DA46BD">
      <w:pPr>
        <w:pStyle w:val="ListParagraph"/>
        <w:rPr>
          <w:rFonts w:ascii="Arial" w:hAnsi="Arial" w:cs="Arial"/>
          <w:sz w:val="22"/>
          <w:szCs w:val="22"/>
        </w:rPr>
      </w:pPr>
    </w:p>
    <w:p w14:paraId="18762D30" w14:textId="77777777" w:rsidR="008C7523" w:rsidRPr="00901F55" w:rsidRDefault="008C7523" w:rsidP="00B76E42">
      <w:pPr>
        <w:pStyle w:val="ReportPara"/>
        <w:numPr>
          <w:ilvl w:val="0"/>
          <w:numId w:val="2"/>
        </w:numPr>
        <w:rPr>
          <w:rFonts w:ascii="Arial" w:hAnsi="Arial" w:cs="Arial"/>
          <w:sz w:val="22"/>
          <w:szCs w:val="22"/>
        </w:rPr>
      </w:pPr>
      <w:r w:rsidRPr="00901F55">
        <w:rPr>
          <w:rFonts w:ascii="Arial" w:hAnsi="Arial" w:cs="Arial"/>
          <w:sz w:val="22"/>
          <w:szCs w:val="22"/>
        </w:rPr>
        <w:t>The key elements of the deal, as set out in the Outline Agreement are:</w:t>
      </w:r>
    </w:p>
    <w:p w14:paraId="08B052E6" w14:textId="77777777" w:rsidR="008C7523" w:rsidRPr="00901F55" w:rsidRDefault="008C7523" w:rsidP="00B76E42">
      <w:pPr>
        <w:pStyle w:val="ReportPara"/>
        <w:numPr>
          <w:ilvl w:val="0"/>
          <w:numId w:val="3"/>
        </w:numPr>
        <w:rPr>
          <w:rFonts w:ascii="Arial" w:hAnsi="Arial" w:cs="Arial"/>
          <w:sz w:val="22"/>
          <w:szCs w:val="22"/>
        </w:rPr>
      </w:pPr>
      <w:r w:rsidRPr="00901F55">
        <w:rPr>
          <w:rFonts w:ascii="Arial" w:hAnsi="Arial" w:cs="Arial"/>
          <w:sz w:val="22"/>
          <w:szCs w:val="22"/>
        </w:rPr>
        <w:t>Infrastructure Delivery</w:t>
      </w:r>
    </w:p>
    <w:p w14:paraId="6F68E777" w14:textId="77777777" w:rsidR="00DA46BD" w:rsidRPr="00901F55" w:rsidRDefault="00DA46BD" w:rsidP="00B76E42">
      <w:pPr>
        <w:pStyle w:val="ReportPara"/>
        <w:numPr>
          <w:ilvl w:val="0"/>
          <w:numId w:val="3"/>
        </w:numPr>
        <w:rPr>
          <w:rFonts w:ascii="Arial" w:hAnsi="Arial" w:cs="Arial"/>
          <w:sz w:val="22"/>
          <w:szCs w:val="22"/>
        </w:rPr>
      </w:pPr>
      <w:r w:rsidRPr="00901F55">
        <w:rPr>
          <w:rFonts w:ascii="Arial" w:hAnsi="Arial" w:cs="Arial"/>
          <w:sz w:val="22"/>
          <w:szCs w:val="22"/>
        </w:rPr>
        <w:t xml:space="preserve">Strategic Housing Delivery and Affordable Housing </w:t>
      </w:r>
    </w:p>
    <w:p w14:paraId="2684BCFD" w14:textId="77777777" w:rsidR="008C7523" w:rsidRPr="00901F55" w:rsidRDefault="008C7523" w:rsidP="00B76E42">
      <w:pPr>
        <w:pStyle w:val="ReportPara"/>
        <w:numPr>
          <w:ilvl w:val="0"/>
          <w:numId w:val="3"/>
        </w:numPr>
        <w:rPr>
          <w:rFonts w:ascii="Arial" w:hAnsi="Arial" w:cs="Arial"/>
          <w:sz w:val="22"/>
          <w:szCs w:val="22"/>
        </w:rPr>
      </w:pPr>
      <w:r w:rsidRPr="00901F55">
        <w:rPr>
          <w:rFonts w:ascii="Arial" w:hAnsi="Arial" w:cs="Arial"/>
          <w:sz w:val="22"/>
          <w:szCs w:val="22"/>
        </w:rPr>
        <w:t>A Joint Statutory Spatial Plan and Planning Flexibilities</w:t>
      </w:r>
    </w:p>
    <w:p w14:paraId="4D52FA05" w14:textId="77777777" w:rsidR="008C7523" w:rsidRDefault="008C7523" w:rsidP="00B76E42">
      <w:pPr>
        <w:pStyle w:val="ReportPara"/>
        <w:numPr>
          <w:ilvl w:val="0"/>
          <w:numId w:val="3"/>
        </w:numPr>
        <w:rPr>
          <w:rFonts w:ascii="Arial" w:hAnsi="Arial" w:cs="Arial"/>
          <w:sz w:val="22"/>
          <w:szCs w:val="22"/>
        </w:rPr>
      </w:pPr>
      <w:r w:rsidRPr="00901F55">
        <w:rPr>
          <w:rFonts w:ascii="Arial" w:hAnsi="Arial" w:cs="Arial"/>
          <w:sz w:val="22"/>
          <w:szCs w:val="22"/>
        </w:rPr>
        <w:t>Productivity</w:t>
      </w:r>
    </w:p>
    <w:p w14:paraId="034E6FEE" w14:textId="77777777" w:rsidR="005D4AB8" w:rsidRPr="00901F55" w:rsidRDefault="005D4AB8" w:rsidP="00B76E42">
      <w:pPr>
        <w:pStyle w:val="ReportPara"/>
        <w:numPr>
          <w:ilvl w:val="0"/>
          <w:numId w:val="2"/>
        </w:numPr>
        <w:rPr>
          <w:rFonts w:ascii="Arial" w:hAnsi="Arial" w:cs="Arial"/>
          <w:sz w:val="22"/>
          <w:szCs w:val="22"/>
        </w:rPr>
      </w:pPr>
      <w:r>
        <w:rPr>
          <w:rFonts w:ascii="Arial" w:hAnsi="Arial" w:cs="Arial"/>
          <w:sz w:val="22"/>
          <w:szCs w:val="22"/>
        </w:rPr>
        <w:t xml:space="preserve">The remainder of this </w:t>
      </w:r>
      <w:r w:rsidR="008A408A">
        <w:rPr>
          <w:rFonts w:ascii="Arial" w:hAnsi="Arial" w:cs="Arial"/>
          <w:sz w:val="22"/>
          <w:szCs w:val="22"/>
        </w:rPr>
        <w:t>report</w:t>
      </w:r>
      <w:r>
        <w:rPr>
          <w:rFonts w:ascii="Arial" w:hAnsi="Arial" w:cs="Arial"/>
          <w:sz w:val="22"/>
          <w:szCs w:val="22"/>
        </w:rPr>
        <w:t xml:space="preserve"> updates the Board with progress against the relevant milestones</w:t>
      </w:r>
    </w:p>
    <w:p w14:paraId="7328B654" w14:textId="77777777" w:rsidR="003A0D8E" w:rsidRPr="00901F55" w:rsidRDefault="003A0D8E" w:rsidP="003048F2">
      <w:pPr>
        <w:pStyle w:val="ReportPara"/>
        <w:numPr>
          <w:ilvl w:val="0"/>
          <w:numId w:val="0"/>
        </w:numPr>
        <w:spacing w:after="0"/>
        <w:ind w:left="1142"/>
        <w:rPr>
          <w:rFonts w:ascii="Arial" w:hAnsi="Arial" w:cs="Arial"/>
          <w:sz w:val="22"/>
          <w:szCs w:val="22"/>
        </w:rPr>
      </w:pPr>
    </w:p>
    <w:p w14:paraId="7BE7AF8C" w14:textId="77777777" w:rsidR="003E4558" w:rsidRPr="00901F55" w:rsidRDefault="00B01B05" w:rsidP="00B01B05">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INFRASTRUCTURE DELIVERY</w:t>
      </w:r>
    </w:p>
    <w:p w14:paraId="02468885" w14:textId="77777777" w:rsidR="003048F2" w:rsidRPr="00901F55" w:rsidRDefault="003048F2" w:rsidP="003048F2">
      <w:pPr>
        <w:pStyle w:val="ReportPara"/>
        <w:numPr>
          <w:ilvl w:val="0"/>
          <w:numId w:val="0"/>
        </w:numPr>
        <w:spacing w:after="0"/>
        <w:ind w:left="1142" w:hanging="432"/>
        <w:jc w:val="both"/>
        <w:rPr>
          <w:rFonts w:ascii="Arial" w:hAnsi="Arial" w:cs="Arial"/>
          <w:b/>
          <w:sz w:val="22"/>
          <w:szCs w:val="22"/>
        </w:rPr>
      </w:pPr>
    </w:p>
    <w:p w14:paraId="66F01721" w14:textId="77777777" w:rsidR="003E4558" w:rsidRPr="00901F55" w:rsidRDefault="008E60CD" w:rsidP="006D6FA0">
      <w:pPr>
        <w:pStyle w:val="ReportPara"/>
        <w:numPr>
          <w:ilvl w:val="0"/>
          <w:numId w:val="2"/>
        </w:numPr>
        <w:spacing w:after="0"/>
        <w:jc w:val="both"/>
        <w:rPr>
          <w:rFonts w:ascii="Arial" w:hAnsi="Arial" w:cs="Arial"/>
          <w:sz w:val="22"/>
          <w:szCs w:val="22"/>
        </w:rPr>
      </w:pPr>
      <w:r w:rsidRPr="00901F55">
        <w:rPr>
          <w:rFonts w:ascii="Arial" w:hAnsi="Arial" w:cs="Arial"/>
          <w:sz w:val="22"/>
          <w:szCs w:val="22"/>
        </w:rPr>
        <w:t>Under the terms of the D</w:t>
      </w:r>
      <w:r w:rsidR="003E4558" w:rsidRPr="00901F55">
        <w:rPr>
          <w:rFonts w:ascii="Arial" w:hAnsi="Arial" w:cs="Arial"/>
          <w:sz w:val="22"/>
          <w:szCs w:val="22"/>
        </w:rPr>
        <w:t>eal the Government will provide Oxfordshire’s six local authorities £150 million of funding (£30m for five years) for infrastructure</w:t>
      </w:r>
      <w:r w:rsidR="00680436" w:rsidRPr="00901F55">
        <w:rPr>
          <w:rFonts w:ascii="Arial" w:hAnsi="Arial" w:cs="Arial"/>
          <w:sz w:val="22"/>
          <w:szCs w:val="22"/>
        </w:rPr>
        <w:t>.</w:t>
      </w:r>
    </w:p>
    <w:p w14:paraId="23B42B67" w14:textId="77777777" w:rsidR="003C70DF" w:rsidRPr="00901F55" w:rsidRDefault="003C70DF" w:rsidP="00E041D6">
      <w:pPr>
        <w:pStyle w:val="ReportPara"/>
        <w:numPr>
          <w:ilvl w:val="0"/>
          <w:numId w:val="0"/>
        </w:numPr>
        <w:spacing w:after="0"/>
        <w:ind w:left="426"/>
        <w:jc w:val="both"/>
        <w:rPr>
          <w:rFonts w:ascii="Arial" w:hAnsi="Arial" w:cs="Arial"/>
          <w:sz w:val="22"/>
          <w:szCs w:val="22"/>
        </w:rPr>
      </w:pPr>
    </w:p>
    <w:p w14:paraId="51F1D3CD" w14:textId="461142A0" w:rsidR="00010AD7" w:rsidRDefault="003E4558" w:rsidP="003E3882">
      <w:pPr>
        <w:pStyle w:val="ReportPara"/>
        <w:numPr>
          <w:ilvl w:val="0"/>
          <w:numId w:val="2"/>
        </w:numPr>
        <w:spacing w:after="0"/>
        <w:jc w:val="both"/>
        <w:rPr>
          <w:rFonts w:ascii="Arial" w:hAnsi="Arial" w:cs="Arial"/>
          <w:sz w:val="22"/>
          <w:szCs w:val="22"/>
        </w:rPr>
      </w:pPr>
      <w:r w:rsidRPr="005D4AB8">
        <w:rPr>
          <w:rFonts w:ascii="Arial" w:hAnsi="Arial" w:cs="Arial"/>
          <w:sz w:val="22"/>
          <w:szCs w:val="22"/>
        </w:rPr>
        <w:lastRenderedPageBreak/>
        <w:t xml:space="preserve">The </w:t>
      </w:r>
      <w:r w:rsidR="00475EB4" w:rsidRPr="005D4AB8">
        <w:rPr>
          <w:rFonts w:ascii="Arial" w:hAnsi="Arial" w:cs="Arial"/>
          <w:sz w:val="22"/>
          <w:szCs w:val="22"/>
        </w:rPr>
        <w:t xml:space="preserve">intention is that the funding for infrastructure </w:t>
      </w:r>
      <w:r w:rsidR="00605A2E" w:rsidRPr="005D4AB8">
        <w:rPr>
          <w:rFonts w:ascii="Arial" w:hAnsi="Arial" w:cs="Arial"/>
          <w:sz w:val="22"/>
          <w:szCs w:val="22"/>
        </w:rPr>
        <w:t xml:space="preserve">from the Deal </w:t>
      </w:r>
      <w:r w:rsidR="00475EB4" w:rsidRPr="005D4AB8">
        <w:rPr>
          <w:rFonts w:ascii="Arial" w:hAnsi="Arial" w:cs="Arial"/>
          <w:sz w:val="22"/>
          <w:szCs w:val="22"/>
        </w:rPr>
        <w:t xml:space="preserve">will help us to </w:t>
      </w:r>
      <w:r w:rsidR="00F75F82">
        <w:rPr>
          <w:rFonts w:ascii="Arial" w:hAnsi="Arial" w:cs="Arial"/>
          <w:sz w:val="22"/>
          <w:szCs w:val="22"/>
        </w:rPr>
        <w:t xml:space="preserve">support the delivery of housing that </w:t>
      </w:r>
      <w:r w:rsidR="00D26888" w:rsidRPr="005D4AB8">
        <w:rPr>
          <w:rFonts w:ascii="Arial" w:hAnsi="Arial" w:cs="Arial"/>
          <w:sz w:val="22"/>
          <w:szCs w:val="22"/>
        </w:rPr>
        <w:t xml:space="preserve">is in Local Plans </w:t>
      </w:r>
      <w:r w:rsidR="00F75F82">
        <w:rPr>
          <w:rFonts w:ascii="Arial" w:hAnsi="Arial" w:cs="Arial"/>
          <w:sz w:val="22"/>
          <w:szCs w:val="22"/>
        </w:rPr>
        <w:t xml:space="preserve">that is </w:t>
      </w:r>
      <w:r w:rsidR="00672118" w:rsidRPr="005D4AB8">
        <w:rPr>
          <w:rFonts w:ascii="Arial" w:hAnsi="Arial" w:cs="Arial"/>
          <w:sz w:val="22"/>
          <w:szCs w:val="22"/>
        </w:rPr>
        <w:t>dependent upon infrastructure</w:t>
      </w:r>
      <w:r w:rsidR="003E3882" w:rsidRPr="003E3882">
        <w:t xml:space="preserve"> </w:t>
      </w:r>
      <w:r w:rsidR="003E3882" w:rsidRPr="003E3882">
        <w:rPr>
          <w:rFonts w:ascii="Arial" w:hAnsi="Arial" w:cs="Arial"/>
          <w:sz w:val="22"/>
          <w:szCs w:val="22"/>
        </w:rPr>
        <w:t>that is as yet not fully funded</w:t>
      </w:r>
      <w:proofErr w:type="gramStart"/>
      <w:r w:rsidR="003E3882" w:rsidRPr="003E3882">
        <w:rPr>
          <w:rFonts w:ascii="Arial" w:hAnsi="Arial" w:cs="Arial"/>
          <w:sz w:val="22"/>
          <w:szCs w:val="22"/>
        </w:rPr>
        <w:t>.</w:t>
      </w:r>
      <w:r w:rsidR="00672118" w:rsidRPr="005D4AB8">
        <w:rPr>
          <w:rFonts w:ascii="Arial" w:hAnsi="Arial" w:cs="Arial"/>
          <w:sz w:val="22"/>
          <w:szCs w:val="22"/>
        </w:rPr>
        <w:t>.</w:t>
      </w:r>
      <w:proofErr w:type="gramEnd"/>
      <w:r w:rsidRPr="005D4AB8">
        <w:rPr>
          <w:rFonts w:ascii="Arial" w:hAnsi="Arial" w:cs="Arial"/>
          <w:sz w:val="22"/>
          <w:szCs w:val="22"/>
        </w:rPr>
        <w:t xml:space="preserve"> </w:t>
      </w:r>
    </w:p>
    <w:p w14:paraId="455740F4" w14:textId="77777777" w:rsidR="005D4AB8" w:rsidRDefault="005D4AB8" w:rsidP="00E041D6">
      <w:pPr>
        <w:pStyle w:val="ListParagraph"/>
        <w:jc w:val="both"/>
        <w:rPr>
          <w:rFonts w:ascii="Arial" w:hAnsi="Arial" w:cs="Arial"/>
          <w:sz w:val="22"/>
          <w:szCs w:val="22"/>
        </w:rPr>
      </w:pPr>
    </w:p>
    <w:p w14:paraId="3F63B68B" w14:textId="77777777" w:rsidR="00010AD7" w:rsidRPr="005D4AB8" w:rsidRDefault="00010AD7" w:rsidP="006D6FA0">
      <w:pPr>
        <w:pStyle w:val="ListParagraph"/>
        <w:numPr>
          <w:ilvl w:val="0"/>
          <w:numId w:val="2"/>
        </w:numPr>
        <w:autoSpaceDE w:val="0"/>
        <w:autoSpaceDN w:val="0"/>
        <w:adjustRightInd w:val="0"/>
        <w:ind w:left="567" w:hanging="425"/>
        <w:jc w:val="both"/>
        <w:rPr>
          <w:rFonts w:ascii="ArialMT" w:hAnsi="ArialMT" w:cs="ArialMT"/>
          <w:sz w:val="22"/>
          <w:szCs w:val="22"/>
        </w:rPr>
      </w:pPr>
      <w:r w:rsidRPr="005D4AB8">
        <w:rPr>
          <w:rFonts w:ascii="ArialMT" w:hAnsi="ArialMT" w:cs="ArialMT"/>
          <w:sz w:val="22"/>
          <w:szCs w:val="22"/>
        </w:rPr>
        <w:t>Integral to the Infrastructure Delivery Programme will be the housing</w:t>
      </w:r>
      <w:r w:rsidR="005D4AB8">
        <w:rPr>
          <w:rFonts w:ascii="ArialMT" w:hAnsi="ArialMT" w:cs="ArialMT"/>
          <w:sz w:val="22"/>
          <w:szCs w:val="22"/>
        </w:rPr>
        <w:t xml:space="preserve"> </w:t>
      </w:r>
      <w:r w:rsidRPr="005D4AB8">
        <w:rPr>
          <w:rFonts w:ascii="ArialMT" w:hAnsi="ArialMT" w:cs="ArialMT"/>
          <w:sz w:val="22"/>
          <w:szCs w:val="22"/>
        </w:rPr>
        <w:t>development sites and number of houses the infrastructure schem</w:t>
      </w:r>
      <w:r w:rsidR="005D4AB8">
        <w:rPr>
          <w:rFonts w:ascii="ArialMT" w:hAnsi="ArialMT" w:cs="ArialMT"/>
          <w:sz w:val="22"/>
          <w:szCs w:val="22"/>
        </w:rPr>
        <w:t>es will support the delivery of</w:t>
      </w:r>
      <w:r w:rsidRPr="005D4AB8">
        <w:rPr>
          <w:rFonts w:ascii="ArialMT" w:hAnsi="ArialMT" w:cs="ArialMT"/>
          <w:sz w:val="22"/>
          <w:szCs w:val="22"/>
        </w:rPr>
        <w:t xml:space="preserve">. </w:t>
      </w:r>
    </w:p>
    <w:p w14:paraId="6F5ECD88" w14:textId="77777777" w:rsidR="00010AD7" w:rsidRPr="00901F55" w:rsidRDefault="00010AD7" w:rsidP="00E041D6">
      <w:pPr>
        <w:autoSpaceDE w:val="0"/>
        <w:autoSpaceDN w:val="0"/>
        <w:adjustRightInd w:val="0"/>
        <w:jc w:val="both"/>
        <w:rPr>
          <w:rFonts w:ascii="ArialMT" w:hAnsi="ArialMT" w:cs="ArialMT"/>
          <w:sz w:val="22"/>
          <w:szCs w:val="22"/>
        </w:rPr>
      </w:pPr>
    </w:p>
    <w:p w14:paraId="22FFCED9" w14:textId="77777777" w:rsidR="00010AD7" w:rsidRPr="00901F55" w:rsidRDefault="00010AD7" w:rsidP="006D6FA0">
      <w:pPr>
        <w:pStyle w:val="ListParagraph"/>
        <w:numPr>
          <w:ilvl w:val="0"/>
          <w:numId w:val="2"/>
        </w:numPr>
        <w:autoSpaceDE w:val="0"/>
        <w:autoSpaceDN w:val="0"/>
        <w:adjustRightInd w:val="0"/>
        <w:jc w:val="both"/>
        <w:rPr>
          <w:rFonts w:ascii="ArialMT" w:hAnsi="ArialMT" w:cs="ArialMT"/>
          <w:sz w:val="22"/>
          <w:szCs w:val="22"/>
        </w:rPr>
      </w:pPr>
      <w:r w:rsidRPr="00901F55">
        <w:rPr>
          <w:rFonts w:ascii="ArialMT" w:hAnsi="ArialMT" w:cs="ArialMT"/>
          <w:sz w:val="22"/>
          <w:szCs w:val="22"/>
        </w:rPr>
        <w:t xml:space="preserve">Using evidence from </w:t>
      </w:r>
      <w:r w:rsidR="005D4AB8" w:rsidRPr="005D4AB8">
        <w:rPr>
          <w:rFonts w:ascii="ArialMT" w:hAnsi="ArialMT" w:cs="ArialMT"/>
          <w:sz w:val="22"/>
          <w:szCs w:val="22"/>
        </w:rPr>
        <w:t>the Oxfordshire Infrastructure Strategy</w:t>
      </w:r>
      <w:r w:rsidR="005D4AB8">
        <w:rPr>
          <w:rFonts w:ascii="ArialMT" w:hAnsi="ArialMT" w:cs="ArialMT"/>
          <w:sz w:val="22"/>
          <w:szCs w:val="22"/>
        </w:rPr>
        <w:t xml:space="preserve"> (</w:t>
      </w:r>
      <w:r w:rsidRPr="00901F55">
        <w:rPr>
          <w:rFonts w:ascii="ArialMT" w:hAnsi="ArialMT" w:cs="ArialMT"/>
          <w:sz w:val="22"/>
          <w:szCs w:val="22"/>
        </w:rPr>
        <w:t>OxIS</w:t>
      </w:r>
      <w:r w:rsidR="005D4AB8">
        <w:rPr>
          <w:rFonts w:ascii="ArialMT" w:hAnsi="ArialMT" w:cs="ArialMT"/>
          <w:sz w:val="22"/>
          <w:szCs w:val="22"/>
        </w:rPr>
        <w:t>)</w:t>
      </w:r>
      <w:r w:rsidRPr="00901F55">
        <w:rPr>
          <w:rFonts w:ascii="ArialMT" w:hAnsi="ArialMT" w:cs="ArialMT"/>
          <w:sz w:val="22"/>
          <w:szCs w:val="22"/>
        </w:rPr>
        <w:t xml:space="preserve"> the Infrastructure Delivery Programme will focus on unlocking the housing planned for in current and emerging Local Plans, and prioritised using the OxIS ranking mechanism</w:t>
      </w:r>
      <w:r w:rsidR="005D4AB8">
        <w:rPr>
          <w:rFonts w:ascii="ArialMT" w:hAnsi="ArialMT" w:cs="ArialMT"/>
          <w:sz w:val="22"/>
          <w:szCs w:val="22"/>
        </w:rPr>
        <w:t xml:space="preserve"> agreed by the Board</w:t>
      </w:r>
      <w:r w:rsidRPr="00901F55">
        <w:rPr>
          <w:rFonts w:ascii="ArialMT" w:hAnsi="ArialMT" w:cs="ArialMT"/>
          <w:sz w:val="22"/>
          <w:szCs w:val="22"/>
        </w:rPr>
        <w:t>.</w:t>
      </w:r>
    </w:p>
    <w:p w14:paraId="4AAF18CC" w14:textId="77777777" w:rsidR="00010AD7" w:rsidRPr="00901F55" w:rsidRDefault="00010AD7" w:rsidP="00E041D6">
      <w:pPr>
        <w:autoSpaceDE w:val="0"/>
        <w:autoSpaceDN w:val="0"/>
        <w:adjustRightInd w:val="0"/>
        <w:jc w:val="both"/>
        <w:rPr>
          <w:rFonts w:ascii="ArialMT" w:hAnsi="ArialMT" w:cs="ArialMT"/>
          <w:sz w:val="22"/>
          <w:szCs w:val="22"/>
        </w:rPr>
      </w:pPr>
    </w:p>
    <w:p w14:paraId="3A572C44" w14:textId="77777777" w:rsidR="00010AD7" w:rsidRDefault="00010AD7" w:rsidP="00E041D6">
      <w:pPr>
        <w:pStyle w:val="ListParagraph"/>
        <w:numPr>
          <w:ilvl w:val="0"/>
          <w:numId w:val="2"/>
        </w:numPr>
        <w:autoSpaceDE w:val="0"/>
        <w:autoSpaceDN w:val="0"/>
        <w:adjustRightInd w:val="0"/>
        <w:ind w:left="567" w:hanging="425"/>
        <w:jc w:val="both"/>
        <w:rPr>
          <w:rFonts w:ascii="ArialMT" w:hAnsi="ArialMT" w:cs="ArialMT"/>
          <w:sz w:val="22"/>
          <w:szCs w:val="22"/>
        </w:rPr>
      </w:pPr>
      <w:r w:rsidRPr="00901F55">
        <w:rPr>
          <w:rFonts w:ascii="ArialMT" w:hAnsi="ArialMT" w:cs="ArialMT"/>
          <w:sz w:val="22"/>
          <w:szCs w:val="22"/>
        </w:rPr>
        <w:t>In developing and refining the proposed Programme, a number of factors</w:t>
      </w:r>
      <w:r w:rsidR="00730590" w:rsidRPr="00901F55">
        <w:rPr>
          <w:rFonts w:ascii="ArialMT" w:hAnsi="ArialMT" w:cs="ArialMT"/>
          <w:sz w:val="22"/>
          <w:szCs w:val="22"/>
        </w:rPr>
        <w:t xml:space="preserve"> </w:t>
      </w:r>
      <w:r w:rsidRPr="00901F55">
        <w:rPr>
          <w:rFonts w:ascii="ArialMT" w:hAnsi="ArialMT" w:cs="ArialMT"/>
          <w:sz w:val="22"/>
          <w:szCs w:val="22"/>
        </w:rPr>
        <w:t>have been taken into consideration, including the ability of each scheme to</w:t>
      </w:r>
      <w:r w:rsidR="00730590" w:rsidRPr="00901F55">
        <w:rPr>
          <w:rFonts w:ascii="ArialMT" w:hAnsi="ArialMT" w:cs="ArialMT"/>
          <w:sz w:val="22"/>
          <w:szCs w:val="22"/>
        </w:rPr>
        <w:t xml:space="preserve"> </w:t>
      </w:r>
      <w:r w:rsidRPr="00901F55">
        <w:rPr>
          <w:rFonts w:ascii="ArialMT" w:hAnsi="ArialMT" w:cs="ArialMT"/>
          <w:sz w:val="22"/>
          <w:szCs w:val="22"/>
        </w:rPr>
        <w:t>support housing:</w:t>
      </w:r>
    </w:p>
    <w:p w14:paraId="3D4A0498" w14:textId="77777777" w:rsidR="005D4AB8" w:rsidRPr="005D4AB8" w:rsidRDefault="005D4AB8" w:rsidP="00E041D6">
      <w:pPr>
        <w:pStyle w:val="ListParagraph"/>
        <w:jc w:val="both"/>
        <w:rPr>
          <w:rFonts w:ascii="ArialMT" w:hAnsi="ArialMT" w:cs="ArialMT"/>
          <w:sz w:val="22"/>
          <w:szCs w:val="22"/>
        </w:rPr>
      </w:pPr>
    </w:p>
    <w:p w14:paraId="5B9F1787" w14:textId="77777777" w:rsidR="00010AD7" w:rsidRPr="005D4AB8" w:rsidRDefault="00010AD7" w:rsidP="00E041D6">
      <w:pPr>
        <w:pStyle w:val="ListParagraph"/>
        <w:numPr>
          <w:ilvl w:val="0"/>
          <w:numId w:val="4"/>
        </w:numPr>
        <w:autoSpaceDE w:val="0"/>
        <w:autoSpaceDN w:val="0"/>
        <w:adjustRightInd w:val="0"/>
        <w:ind w:firstLine="273"/>
        <w:jc w:val="both"/>
        <w:rPr>
          <w:rFonts w:ascii="ArialMT" w:hAnsi="ArialMT" w:cs="ArialMT"/>
          <w:sz w:val="22"/>
          <w:szCs w:val="22"/>
        </w:rPr>
      </w:pPr>
      <w:r w:rsidRPr="005D4AB8">
        <w:rPr>
          <w:rFonts w:ascii="ArialMT" w:hAnsi="ArialMT" w:cs="ArialMT"/>
          <w:sz w:val="22"/>
          <w:szCs w:val="22"/>
        </w:rPr>
        <w:t>Deliverability, in terms of: readiness / completion of design;</w:t>
      </w:r>
    </w:p>
    <w:p w14:paraId="01568DDC" w14:textId="77777777" w:rsidR="00010AD7" w:rsidRPr="005D4AB8" w:rsidRDefault="00BA070B" w:rsidP="00E041D6">
      <w:pPr>
        <w:pStyle w:val="ListParagraph"/>
        <w:numPr>
          <w:ilvl w:val="0"/>
          <w:numId w:val="4"/>
        </w:numPr>
        <w:autoSpaceDE w:val="0"/>
        <w:autoSpaceDN w:val="0"/>
        <w:adjustRightInd w:val="0"/>
        <w:ind w:firstLine="273"/>
        <w:jc w:val="both"/>
        <w:rPr>
          <w:rFonts w:ascii="ArialMT" w:hAnsi="ArialMT" w:cs="ArialMT"/>
          <w:sz w:val="22"/>
          <w:szCs w:val="22"/>
        </w:rPr>
      </w:pPr>
      <w:r w:rsidRPr="005D4AB8">
        <w:rPr>
          <w:rFonts w:ascii="ArialMT" w:hAnsi="ArialMT" w:cs="ArialMT"/>
          <w:sz w:val="22"/>
          <w:szCs w:val="22"/>
        </w:rPr>
        <w:t>Consultation</w:t>
      </w:r>
      <w:r w:rsidR="00010AD7" w:rsidRPr="005D4AB8">
        <w:rPr>
          <w:rFonts w:ascii="ArialMT" w:hAnsi="ArialMT" w:cs="ArialMT"/>
          <w:sz w:val="22"/>
          <w:szCs w:val="22"/>
        </w:rPr>
        <w:t xml:space="preserve"> or approvals/permissions required</w:t>
      </w:r>
      <w:r w:rsidR="00730590" w:rsidRPr="005D4AB8">
        <w:rPr>
          <w:rFonts w:ascii="ArialMT" w:hAnsi="ArialMT" w:cs="ArialMT"/>
          <w:sz w:val="22"/>
          <w:szCs w:val="22"/>
        </w:rPr>
        <w:t>.</w:t>
      </w:r>
    </w:p>
    <w:p w14:paraId="708CCF0A" w14:textId="77777777" w:rsidR="00010AD7" w:rsidRPr="00BA070B" w:rsidRDefault="00010AD7" w:rsidP="00E041D6">
      <w:pPr>
        <w:pStyle w:val="ListParagraph"/>
        <w:numPr>
          <w:ilvl w:val="0"/>
          <w:numId w:val="4"/>
        </w:numPr>
        <w:autoSpaceDE w:val="0"/>
        <w:autoSpaceDN w:val="0"/>
        <w:adjustRightInd w:val="0"/>
        <w:ind w:left="993" w:firstLine="0"/>
        <w:jc w:val="both"/>
        <w:rPr>
          <w:rFonts w:ascii="ArialMT" w:hAnsi="ArialMT" w:cs="ArialMT"/>
          <w:sz w:val="22"/>
          <w:szCs w:val="22"/>
        </w:rPr>
      </w:pPr>
      <w:r w:rsidRPr="00BA070B">
        <w:rPr>
          <w:rFonts w:ascii="ArialMT" w:hAnsi="ArialMT" w:cs="ArialMT"/>
          <w:sz w:val="22"/>
          <w:szCs w:val="22"/>
        </w:rPr>
        <w:t>Value for Money – measured against number of houses scheme will</w:t>
      </w:r>
      <w:r w:rsidR="00BA070B" w:rsidRPr="00BA070B">
        <w:rPr>
          <w:rFonts w:ascii="ArialMT" w:hAnsi="ArialMT" w:cs="ArialMT"/>
          <w:sz w:val="22"/>
          <w:szCs w:val="22"/>
        </w:rPr>
        <w:t xml:space="preserve"> </w:t>
      </w:r>
      <w:r w:rsidRPr="00BA070B">
        <w:rPr>
          <w:rFonts w:ascii="ArialMT" w:hAnsi="ArialMT" w:cs="ArialMT"/>
          <w:sz w:val="22"/>
          <w:szCs w:val="22"/>
        </w:rPr>
        <w:t>support</w:t>
      </w:r>
      <w:r w:rsidR="00730590" w:rsidRPr="00BA070B">
        <w:rPr>
          <w:rFonts w:ascii="ArialMT" w:hAnsi="ArialMT" w:cs="ArialMT"/>
          <w:sz w:val="22"/>
          <w:szCs w:val="22"/>
        </w:rPr>
        <w:t>.</w:t>
      </w:r>
    </w:p>
    <w:p w14:paraId="64EFB395" w14:textId="77777777" w:rsidR="00010AD7" w:rsidRPr="005D4AB8" w:rsidRDefault="00010AD7" w:rsidP="00E041D6">
      <w:pPr>
        <w:pStyle w:val="ListParagraph"/>
        <w:numPr>
          <w:ilvl w:val="0"/>
          <w:numId w:val="4"/>
        </w:numPr>
        <w:autoSpaceDE w:val="0"/>
        <w:autoSpaceDN w:val="0"/>
        <w:adjustRightInd w:val="0"/>
        <w:ind w:firstLine="273"/>
        <w:jc w:val="both"/>
        <w:rPr>
          <w:rFonts w:ascii="ArialMT" w:hAnsi="ArialMT" w:cs="ArialMT"/>
          <w:sz w:val="22"/>
          <w:szCs w:val="22"/>
        </w:rPr>
      </w:pPr>
      <w:r w:rsidRPr="005D4AB8">
        <w:rPr>
          <w:rFonts w:ascii="ArialMT" w:hAnsi="ArialMT" w:cs="ArialMT"/>
          <w:sz w:val="22"/>
          <w:szCs w:val="22"/>
        </w:rPr>
        <w:t>Strategic Fit as identified in OxIS and Local Plans</w:t>
      </w:r>
      <w:r w:rsidR="00730590" w:rsidRPr="005D4AB8">
        <w:rPr>
          <w:rFonts w:ascii="ArialMT" w:hAnsi="ArialMT" w:cs="ArialMT"/>
          <w:sz w:val="22"/>
          <w:szCs w:val="22"/>
        </w:rPr>
        <w:t>.</w:t>
      </w:r>
    </w:p>
    <w:p w14:paraId="5AC957BC" w14:textId="77777777" w:rsidR="00B01B05" w:rsidRPr="005D4AB8" w:rsidRDefault="00010AD7" w:rsidP="00E041D6">
      <w:pPr>
        <w:pStyle w:val="ListParagraph"/>
        <w:numPr>
          <w:ilvl w:val="0"/>
          <w:numId w:val="4"/>
        </w:numPr>
        <w:autoSpaceDE w:val="0"/>
        <w:autoSpaceDN w:val="0"/>
        <w:adjustRightInd w:val="0"/>
        <w:ind w:firstLine="273"/>
        <w:jc w:val="both"/>
        <w:rPr>
          <w:rFonts w:ascii="ArialMT" w:hAnsi="ArialMT" w:cs="ArialMT"/>
          <w:sz w:val="22"/>
          <w:szCs w:val="22"/>
        </w:rPr>
      </w:pPr>
      <w:r w:rsidRPr="005D4AB8">
        <w:rPr>
          <w:rFonts w:ascii="ArialMT" w:hAnsi="ArialMT" w:cs="ArialMT"/>
          <w:sz w:val="22"/>
          <w:szCs w:val="22"/>
        </w:rPr>
        <w:t>Interrelationship with other infrastructure proposals/schemes –including sequencing</w:t>
      </w:r>
    </w:p>
    <w:p w14:paraId="7937A3C1" w14:textId="77777777" w:rsidR="00010AD7" w:rsidRDefault="00010AD7" w:rsidP="00E041D6">
      <w:pPr>
        <w:pStyle w:val="ListParagraph"/>
        <w:numPr>
          <w:ilvl w:val="0"/>
          <w:numId w:val="4"/>
        </w:numPr>
        <w:autoSpaceDE w:val="0"/>
        <w:autoSpaceDN w:val="0"/>
        <w:adjustRightInd w:val="0"/>
        <w:ind w:left="1418" w:hanging="425"/>
        <w:jc w:val="both"/>
        <w:rPr>
          <w:rFonts w:ascii="ArialMT" w:hAnsi="ArialMT" w:cs="ArialMT"/>
          <w:sz w:val="22"/>
          <w:szCs w:val="22"/>
        </w:rPr>
      </w:pPr>
      <w:r w:rsidRPr="005D4AB8">
        <w:rPr>
          <w:rFonts w:ascii="ArialMT" w:hAnsi="ArialMT" w:cs="ArialMT"/>
          <w:sz w:val="22"/>
          <w:szCs w:val="22"/>
        </w:rPr>
        <w:t>Predicated Transport and other strategic outcomes, for example</w:t>
      </w:r>
      <w:r w:rsidR="00730590" w:rsidRPr="005D4AB8">
        <w:rPr>
          <w:rFonts w:ascii="ArialMT" w:hAnsi="ArialMT" w:cs="ArialMT"/>
          <w:sz w:val="22"/>
          <w:szCs w:val="22"/>
        </w:rPr>
        <w:t xml:space="preserve"> </w:t>
      </w:r>
      <w:r w:rsidRPr="005D4AB8">
        <w:rPr>
          <w:rFonts w:ascii="ArialMT" w:hAnsi="ArialMT" w:cs="ArialMT"/>
          <w:sz w:val="22"/>
          <w:szCs w:val="22"/>
        </w:rPr>
        <w:t>changes in trip patterns.</w:t>
      </w:r>
    </w:p>
    <w:p w14:paraId="669228DC" w14:textId="77777777" w:rsidR="005C29EB" w:rsidRDefault="005C29EB" w:rsidP="00E041D6">
      <w:pPr>
        <w:pStyle w:val="ListParagraph"/>
        <w:numPr>
          <w:ilvl w:val="0"/>
          <w:numId w:val="4"/>
        </w:numPr>
        <w:autoSpaceDE w:val="0"/>
        <w:autoSpaceDN w:val="0"/>
        <w:adjustRightInd w:val="0"/>
        <w:ind w:left="1418" w:hanging="425"/>
        <w:jc w:val="both"/>
        <w:rPr>
          <w:rFonts w:ascii="ArialMT" w:hAnsi="ArialMT" w:cs="ArialMT"/>
          <w:sz w:val="22"/>
          <w:szCs w:val="22"/>
        </w:rPr>
      </w:pPr>
      <w:r w:rsidRPr="005C29EB">
        <w:rPr>
          <w:rFonts w:ascii="ArialMT" w:hAnsi="ArialMT" w:cs="ArialMT"/>
          <w:sz w:val="22"/>
          <w:szCs w:val="22"/>
        </w:rPr>
        <w:t xml:space="preserve">That Oxfordshire is successful </w:t>
      </w:r>
      <w:r w:rsidR="0050281B" w:rsidRPr="005C29EB">
        <w:rPr>
          <w:rFonts w:ascii="ArialMT" w:hAnsi="ArialMT" w:cs="ArialMT"/>
          <w:sz w:val="22"/>
          <w:szCs w:val="22"/>
        </w:rPr>
        <w:t>in its</w:t>
      </w:r>
      <w:r w:rsidR="0050281B">
        <w:rPr>
          <w:rFonts w:ascii="ArialMT" w:hAnsi="ArialMT" w:cs="ArialMT"/>
          <w:sz w:val="22"/>
          <w:szCs w:val="22"/>
        </w:rPr>
        <w:t xml:space="preserve"> bid for a Forward F</w:t>
      </w:r>
      <w:r w:rsidR="0050281B" w:rsidRPr="005C29EB">
        <w:rPr>
          <w:rFonts w:ascii="ArialMT" w:hAnsi="ArialMT" w:cs="ArialMT"/>
          <w:sz w:val="22"/>
          <w:szCs w:val="22"/>
        </w:rPr>
        <w:t>unding Housing</w:t>
      </w:r>
      <w:r w:rsidRPr="005C29EB">
        <w:rPr>
          <w:rFonts w:ascii="ArialMT" w:hAnsi="ArialMT" w:cs="ArialMT"/>
          <w:sz w:val="22"/>
          <w:szCs w:val="22"/>
        </w:rPr>
        <w:t xml:space="preserve"> Infrastructure Fund</w:t>
      </w:r>
      <w:r>
        <w:rPr>
          <w:rFonts w:ascii="ArialMT" w:hAnsi="ArialMT" w:cs="ArialMT"/>
          <w:sz w:val="22"/>
          <w:szCs w:val="22"/>
        </w:rPr>
        <w:t xml:space="preserve"> (HIF) </w:t>
      </w:r>
      <w:r w:rsidR="0050281B">
        <w:rPr>
          <w:rFonts w:ascii="ArialMT" w:hAnsi="ArialMT" w:cs="ArialMT"/>
          <w:sz w:val="22"/>
          <w:szCs w:val="22"/>
        </w:rPr>
        <w:t xml:space="preserve">bid </w:t>
      </w:r>
      <w:r w:rsidR="0050281B" w:rsidRPr="005C29EB">
        <w:rPr>
          <w:rFonts w:ascii="ArialMT" w:hAnsi="ArialMT" w:cs="ArialMT"/>
          <w:sz w:val="22"/>
          <w:szCs w:val="22"/>
        </w:rPr>
        <w:t>for</w:t>
      </w:r>
      <w:r w:rsidRPr="005C29EB">
        <w:rPr>
          <w:rFonts w:ascii="ArialMT" w:hAnsi="ArialMT" w:cs="ArialMT"/>
          <w:sz w:val="22"/>
          <w:szCs w:val="22"/>
        </w:rPr>
        <w:t xml:space="preserve"> Didcot Garden </w:t>
      </w:r>
      <w:r w:rsidR="0050281B" w:rsidRPr="005C29EB">
        <w:rPr>
          <w:rFonts w:ascii="ArialMT" w:hAnsi="ArialMT" w:cs="ArialMT"/>
          <w:sz w:val="22"/>
          <w:szCs w:val="22"/>
        </w:rPr>
        <w:t>Town</w:t>
      </w:r>
      <w:r w:rsidR="0050281B">
        <w:rPr>
          <w:rFonts w:ascii="ArialMT" w:hAnsi="ArialMT" w:cs="ArialMT"/>
          <w:sz w:val="22"/>
          <w:szCs w:val="22"/>
        </w:rPr>
        <w:t>.</w:t>
      </w:r>
      <w:r w:rsidRPr="005C29EB">
        <w:rPr>
          <w:rFonts w:ascii="ArialMT" w:hAnsi="ArialMT" w:cs="ArialMT"/>
          <w:sz w:val="22"/>
          <w:szCs w:val="22"/>
        </w:rPr>
        <w:t xml:space="preserve"> </w:t>
      </w:r>
      <w:r w:rsidR="0050281B">
        <w:rPr>
          <w:rFonts w:ascii="ArialMT" w:hAnsi="ArialMT" w:cs="ArialMT"/>
          <w:sz w:val="22"/>
          <w:szCs w:val="22"/>
        </w:rPr>
        <w:t>I</w:t>
      </w:r>
      <w:r w:rsidRPr="005C29EB">
        <w:rPr>
          <w:rFonts w:ascii="ArialMT" w:hAnsi="ArialMT" w:cs="ArialMT"/>
          <w:sz w:val="22"/>
          <w:szCs w:val="22"/>
        </w:rPr>
        <w:t>f this bid is</w:t>
      </w:r>
      <w:r>
        <w:rPr>
          <w:rFonts w:ascii="ArialMT" w:hAnsi="ArialMT" w:cs="ArialMT"/>
          <w:sz w:val="22"/>
          <w:szCs w:val="22"/>
        </w:rPr>
        <w:t xml:space="preserve"> </w:t>
      </w:r>
      <w:r w:rsidR="0050281B" w:rsidRPr="005C29EB">
        <w:rPr>
          <w:rFonts w:ascii="ArialMT" w:hAnsi="ArialMT" w:cs="ArialMT"/>
          <w:sz w:val="22"/>
          <w:szCs w:val="22"/>
        </w:rPr>
        <w:t>unsuccessful,</w:t>
      </w:r>
      <w:r w:rsidRPr="005C29EB">
        <w:rPr>
          <w:rFonts w:ascii="ArialMT" w:hAnsi="ArialMT" w:cs="ArialMT"/>
          <w:sz w:val="22"/>
          <w:szCs w:val="22"/>
        </w:rPr>
        <w:t xml:space="preserve"> the infrastructure programme will </w:t>
      </w:r>
      <w:r>
        <w:rPr>
          <w:rFonts w:ascii="ArialMT" w:hAnsi="ArialMT" w:cs="ArialMT"/>
          <w:sz w:val="22"/>
          <w:szCs w:val="22"/>
        </w:rPr>
        <w:t>require redesigning.</w:t>
      </w:r>
    </w:p>
    <w:p w14:paraId="1036629B" w14:textId="77777777" w:rsidR="00010AD7" w:rsidRPr="00901F55" w:rsidRDefault="00010AD7" w:rsidP="00010AD7">
      <w:pPr>
        <w:autoSpaceDE w:val="0"/>
        <w:autoSpaceDN w:val="0"/>
        <w:adjustRightInd w:val="0"/>
        <w:rPr>
          <w:rFonts w:ascii="ArialMT" w:hAnsi="ArialMT" w:cs="ArialMT"/>
          <w:sz w:val="22"/>
          <w:szCs w:val="22"/>
        </w:rPr>
      </w:pPr>
    </w:p>
    <w:p w14:paraId="11719041" w14:textId="77777777" w:rsidR="00B01B05" w:rsidRPr="00901F55" w:rsidRDefault="00010AD7" w:rsidP="00E041D6">
      <w:pPr>
        <w:pStyle w:val="ListParagraph"/>
        <w:numPr>
          <w:ilvl w:val="0"/>
          <w:numId w:val="2"/>
        </w:numPr>
        <w:jc w:val="both"/>
        <w:rPr>
          <w:rFonts w:ascii="ArialMT" w:hAnsi="ArialMT" w:cs="ArialMT"/>
          <w:sz w:val="22"/>
          <w:szCs w:val="22"/>
        </w:rPr>
      </w:pPr>
      <w:r w:rsidRPr="00901F55">
        <w:rPr>
          <w:rFonts w:ascii="ArialMT" w:hAnsi="ArialMT" w:cs="ArialMT"/>
          <w:sz w:val="22"/>
          <w:szCs w:val="22"/>
        </w:rPr>
        <w:t xml:space="preserve"> </w:t>
      </w:r>
      <w:r w:rsidR="002D6880">
        <w:rPr>
          <w:rFonts w:ascii="ArialMT" w:hAnsi="ArialMT" w:cs="ArialMT"/>
          <w:sz w:val="22"/>
          <w:szCs w:val="22"/>
        </w:rPr>
        <w:t>A</w:t>
      </w:r>
      <w:r w:rsidR="002D6880" w:rsidRPr="00901F55">
        <w:rPr>
          <w:rFonts w:ascii="ArialMT" w:hAnsi="ArialMT" w:cs="ArialMT"/>
          <w:sz w:val="22"/>
          <w:szCs w:val="22"/>
        </w:rPr>
        <w:t xml:space="preserve"> </w:t>
      </w:r>
      <w:r w:rsidR="00B01B05" w:rsidRPr="00901F55">
        <w:rPr>
          <w:rFonts w:ascii="ArialMT" w:hAnsi="ArialMT" w:cs="ArialMT"/>
          <w:sz w:val="22"/>
          <w:szCs w:val="22"/>
        </w:rPr>
        <w:t>key milestone in the Deal is the commitment to agre</w:t>
      </w:r>
      <w:r w:rsidR="005D4AB8">
        <w:rPr>
          <w:rFonts w:ascii="ArialMT" w:hAnsi="ArialMT" w:cs="ArialMT"/>
          <w:sz w:val="22"/>
          <w:szCs w:val="22"/>
        </w:rPr>
        <w:t>eing with Government a Year O</w:t>
      </w:r>
      <w:r w:rsidR="00B01B05" w:rsidRPr="00901F55">
        <w:rPr>
          <w:rFonts w:ascii="ArialMT" w:hAnsi="ArialMT" w:cs="ArialMT"/>
          <w:sz w:val="22"/>
          <w:szCs w:val="22"/>
        </w:rPr>
        <w:t xml:space="preserve">ne </w:t>
      </w:r>
      <w:r w:rsidR="0050281B">
        <w:rPr>
          <w:rFonts w:ascii="ArialMT" w:hAnsi="ArialMT" w:cs="ArialMT"/>
          <w:sz w:val="22"/>
          <w:szCs w:val="22"/>
        </w:rPr>
        <w:t>P</w:t>
      </w:r>
      <w:r w:rsidR="00B01B05" w:rsidRPr="00901F55">
        <w:rPr>
          <w:rFonts w:ascii="ArialMT" w:hAnsi="ArialMT" w:cs="ArialMT"/>
          <w:sz w:val="22"/>
          <w:szCs w:val="22"/>
        </w:rPr>
        <w:t xml:space="preserve">rogramme by 31st March 2018 </w:t>
      </w:r>
      <w:r w:rsidR="00B01B05" w:rsidRPr="0043167C">
        <w:rPr>
          <w:rFonts w:ascii="ArialMT" w:hAnsi="ArialMT" w:cs="ArialMT"/>
          <w:sz w:val="22"/>
          <w:szCs w:val="22"/>
        </w:rPr>
        <w:t xml:space="preserve">This programme is attached at </w:t>
      </w:r>
      <w:r w:rsidR="0050281B">
        <w:rPr>
          <w:rFonts w:ascii="ArialMT" w:hAnsi="ArialMT" w:cs="ArialMT"/>
          <w:sz w:val="22"/>
          <w:szCs w:val="22"/>
        </w:rPr>
        <w:t>A</w:t>
      </w:r>
      <w:r w:rsidR="00B01B05" w:rsidRPr="0043167C">
        <w:rPr>
          <w:rFonts w:ascii="ArialMT" w:hAnsi="ArialMT" w:cs="ArialMT"/>
          <w:sz w:val="22"/>
          <w:szCs w:val="22"/>
        </w:rPr>
        <w:t xml:space="preserve">ppendix </w:t>
      </w:r>
      <w:r w:rsidR="0050281B">
        <w:rPr>
          <w:rFonts w:ascii="ArialMT" w:hAnsi="ArialMT" w:cs="ArialMT"/>
          <w:sz w:val="22"/>
          <w:szCs w:val="22"/>
        </w:rPr>
        <w:t>O</w:t>
      </w:r>
      <w:r w:rsidR="00B01B05" w:rsidRPr="0043167C">
        <w:rPr>
          <w:rFonts w:ascii="ArialMT" w:hAnsi="ArialMT" w:cs="ArialMT"/>
          <w:sz w:val="22"/>
          <w:szCs w:val="22"/>
        </w:rPr>
        <w:t xml:space="preserve">ne </w:t>
      </w:r>
      <w:r w:rsidR="0050281B">
        <w:rPr>
          <w:rFonts w:ascii="ArialMT" w:hAnsi="ArialMT" w:cs="ArialMT"/>
          <w:sz w:val="22"/>
          <w:szCs w:val="22"/>
        </w:rPr>
        <w:t>of</w:t>
      </w:r>
      <w:r w:rsidR="00B01B05" w:rsidRPr="0043167C">
        <w:rPr>
          <w:rFonts w:ascii="ArialMT" w:hAnsi="ArialMT" w:cs="ArialMT"/>
          <w:sz w:val="22"/>
          <w:szCs w:val="22"/>
        </w:rPr>
        <w:t xml:space="preserve"> this report.</w:t>
      </w:r>
    </w:p>
    <w:p w14:paraId="4CB7CD14" w14:textId="77777777" w:rsidR="00B01B05" w:rsidRPr="00901F55" w:rsidRDefault="00B01B05" w:rsidP="00B01B05">
      <w:pPr>
        <w:pStyle w:val="ListParagraph"/>
        <w:rPr>
          <w:rFonts w:ascii="ArialMT" w:hAnsi="ArialMT" w:cs="ArialMT"/>
          <w:sz w:val="22"/>
          <w:szCs w:val="22"/>
        </w:rPr>
      </w:pPr>
    </w:p>
    <w:p w14:paraId="42434C56" w14:textId="77777777" w:rsidR="00B01B05" w:rsidRDefault="00B01B05" w:rsidP="00E041D6">
      <w:pPr>
        <w:pStyle w:val="ListParagraph"/>
        <w:numPr>
          <w:ilvl w:val="0"/>
          <w:numId w:val="2"/>
        </w:numPr>
        <w:jc w:val="both"/>
        <w:rPr>
          <w:rFonts w:ascii="ArialMT" w:hAnsi="ArialMT" w:cs="ArialMT"/>
          <w:sz w:val="22"/>
          <w:szCs w:val="22"/>
        </w:rPr>
      </w:pPr>
      <w:r w:rsidRPr="00901F55">
        <w:rPr>
          <w:rFonts w:ascii="ArialMT" w:hAnsi="ArialMT" w:cs="ArialMT"/>
          <w:sz w:val="22"/>
          <w:szCs w:val="22"/>
        </w:rPr>
        <w:t>In line with the commitments outlined in the Deal Delivery Plan</w:t>
      </w:r>
      <w:r w:rsidR="002D6880">
        <w:rPr>
          <w:rFonts w:ascii="ArialMT" w:hAnsi="ArialMT" w:cs="ArialMT"/>
          <w:sz w:val="22"/>
          <w:szCs w:val="22"/>
        </w:rPr>
        <w:t>, Officials from</w:t>
      </w:r>
      <w:r w:rsidRPr="00901F55">
        <w:rPr>
          <w:rFonts w:ascii="ArialMT" w:hAnsi="ArialMT" w:cs="ArialMT"/>
          <w:sz w:val="22"/>
          <w:szCs w:val="22"/>
        </w:rPr>
        <w:t xml:space="preserve"> Homes England, Ministry for Housing, Communities, and Local Government, and Department for Transport h</w:t>
      </w:r>
      <w:r w:rsidR="005D4AB8">
        <w:rPr>
          <w:rFonts w:ascii="ArialMT" w:hAnsi="ArialMT" w:cs="ArialMT"/>
          <w:sz w:val="22"/>
          <w:szCs w:val="22"/>
        </w:rPr>
        <w:t xml:space="preserve">ave reviewed the proposed Year </w:t>
      </w:r>
      <w:r w:rsidR="0050281B">
        <w:rPr>
          <w:rFonts w:ascii="ArialMT" w:hAnsi="ArialMT" w:cs="ArialMT"/>
          <w:sz w:val="22"/>
          <w:szCs w:val="22"/>
        </w:rPr>
        <w:t>One programme</w:t>
      </w:r>
      <w:r w:rsidR="002D6880">
        <w:rPr>
          <w:rFonts w:ascii="ArialMT" w:hAnsi="ArialMT" w:cs="ArialMT"/>
          <w:sz w:val="22"/>
          <w:szCs w:val="22"/>
        </w:rPr>
        <w:t xml:space="preserve"> and confirmed they are content with the year one programme [TBC by MHCLG].</w:t>
      </w:r>
    </w:p>
    <w:p w14:paraId="2AD45171" w14:textId="77777777" w:rsidR="00B70B99" w:rsidRPr="00B70B99" w:rsidRDefault="00B70B99" w:rsidP="00B70B99">
      <w:pPr>
        <w:pStyle w:val="ListParagraph"/>
        <w:rPr>
          <w:rFonts w:ascii="ArialMT" w:hAnsi="ArialMT" w:cs="ArialMT"/>
          <w:sz w:val="22"/>
          <w:szCs w:val="22"/>
        </w:rPr>
      </w:pPr>
    </w:p>
    <w:p w14:paraId="2E45197E" w14:textId="12E9F946" w:rsidR="00B70B99" w:rsidRPr="00B70B99" w:rsidRDefault="00B70B99" w:rsidP="00E041D6">
      <w:pPr>
        <w:pStyle w:val="ListParagraph"/>
        <w:numPr>
          <w:ilvl w:val="0"/>
          <w:numId w:val="2"/>
        </w:numPr>
        <w:jc w:val="both"/>
        <w:rPr>
          <w:rFonts w:ascii="ArialMT" w:hAnsi="ArialMT" w:cs="ArialMT"/>
          <w:sz w:val="22"/>
          <w:szCs w:val="22"/>
        </w:rPr>
      </w:pPr>
      <w:r>
        <w:rPr>
          <w:rFonts w:ascii="ArialMT" w:hAnsi="ArialMT" w:cs="ArialMT"/>
          <w:sz w:val="22"/>
          <w:szCs w:val="22"/>
        </w:rPr>
        <w:t>Officers have tested t</w:t>
      </w:r>
      <w:r w:rsidRPr="00B70B99">
        <w:rPr>
          <w:rFonts w:ascii="ArialMT" w:hAnsi="ArialMT" w:cs="ArialMT"/>
          <w:sz w:val="22"/>
          <w:szCs w:val="22"/>
        </w:rPr>
        <w:t>he</w:t>
      </w:r>
      <w:r w:rsidR="006D6FA0">
        <w:rPr>
          <w:rFonts w:ascii="ArialMT" w:hAnsi="ArialMT" w:cs="ArialMT"/>
          <w:sz w:val="22"/>
          <w:szCs w:val="22"/>
        </w:rPr>
        <w:t xml:space="preserve"> </w:t>
      </w:r>
      <w:r w:rsidRPr="00B70B99">
        <w:rPr>
          <w:rFonts w:ascii="ArialMT" w:hAnsi="ArialMT" w:cs="ArialMT"/>
          <w:sz w:val="22"/>
          <w:szCs w:val="22"/>
        </w:rPr>
        <w:t xml:space="preserve">year one programme using the Ready Reckoner tool, which evaluates the cost benefit ratio of schemes to housing delivered. This tool was similarly used to appraise the recent Housing Infrastructure Funding bids. </w:t>
      </w:r>
    </w:p>
    <w:p w14:paraId="2BEFCE84" w14:textId="77777777" w:rsidR="00B70B99" w:rsidRPr="00B70B99" w:rsidRDefault="00B70B99" w:rsidP="00B70B99">
      <w:pPr>
        <w:pStyle w:val="ListParagraph"/>
        <w:ind w:left="502"/>
        <w:rPr>
          <w:rFonts w:ascii="ArialMT" w:hAnsi="ArialMT" w:cs="ArialMT"/>
          <w:sz w:val="22"/>
          <w:szCs w:val="22"/>
        </w:rPr>
      </w:pPr>
    </w:p>
    <w:p w14:paraId="641A110C" w14:textId="3610677C" w:rsidR="009273C9" w:rsidRPr="009273C9" w:rsidRDefault="00B70B99" w:rsidP="00E041D6">
      <w:pPr>
        <w:pStyle w:val="ListParagraph"/>
        <w:numPr>
          <w:ilvl w:val="0"/>
          <w:numId w:val="2"/>
        </w:numPr>
      </w:pPr>
      <w:r w:rsidRPr="00B70B99">
        <w:rPr>
          <w:rFonts w:ascii="ArialMT" w:hAnsi="ArialMT" w:cs="ArialMT"/>
          <w:sz w:val="22"/>
          <w:szCs w:val="22"/>
        </w:rPr>
        <w:t>The calculation assessed the potential total ask over the full five years of the year one programme against the corresponding five-year housing trajectories and rated as Good overall in the value for money category</w:t>
      </w:r>
    </w:p>
    <w:p w14:paraId="220C3D55" w14:textId="77777777" w:rsidR="005C29EB" w:rsidRPr="005C29EB" w:rsidRDefault="005C29EB" w:rsidP="005C29EB">
      <w:pPr>
        <w:pStyle w:val="ReportPara"/>
        <w:numPr>
          <w:ilvl w:val="0"/>
          <w:numId w:val="0"/>
        </w:numPr>
        <w:spacing w:after="0"/>
        <w:ind w:left="502"/>
        <w:jc w:val="both"/>
        <w:rPr>
          <w:rFonts w:ascii="Arial" w:hAnsi="Arial" w:cs="Arial"/>
          <w:sz w:val="22"/>
          <w:szCs w:val="22"/>
        </w:rPr>
      </w:pPr>
    </w:p>
    <w:p w14:paraId="4A999D07" w14:textId="7ECF94BE" w:rsidR="00C21F34" w:rsidRDefault="008A408A" w:rsidP="005C29EB">
      <w:pPr>
        <w:pStyle w:val="ReportPara"/>
        <w:numPr>
          <w:ilvl w:val="0"/>
          <w:numId w:val="2"/>
        </w:numPr>
        <w:spacing w:after="0"/>
        <w:jc w:val="both"/>
        <w:rPr>
          <w:rFonts w:ascii="Arial" w:hAnsi="Arial" w:cs="Arial"/>
          <w:sz w:val="22"/>
          <w:szCs w:val="22"/>
        </w:rPr>
      </w:pPr>
      <w:r w:rsidRPr="005C29EB">
        <w:rPr>
          <w:rFonts w:ascii="Arial" w:hAnsi="Arial" w:cs="Arial"/>
          <w:sz w:val="22"/>
          <w:szCs w:val="22"/>
        </w:rPr>
        <w:t>The agreed Year O</w:t>
      </w:r>
      <w:r w:rsidR="006520B5" w:rsidRPr="005C29EB">
        <w:rPr>
          <w:rFonts w:ascii="Arial" w:hAnsi="Arial" w:cs="Arial"/>
          <w:sz w:val="22"/>
          <w:szCs w:val="22"/>
        </w:rPr>
        <w:t xml:space="preserve">ne </w:t>
      </w:r>
      <w:r w:rsidRPr="005C29EB">
        <w:rPr>
          <w:rFonts w:ascii="Arial" w:hAnsi="Arial" w:cs="Arial"/>
          <w:sz w:val="22"/>
          <w:szCs w:val="22"/>
        </w:rPr>
        <w:t>I</w:t>
      </w:r>
      <w:r w:rsidR="006520B5" w:rsidRPr="005C29EB">
        <w:rPr>
          <w:rFonts w:ascii="Arial" w:hAnsi="Arial" w:cs="Arial"/>
          <w:sz w:val="22"/>
          <w:szCs w:val="22"/>
        </w:rPr>
        <w:t xml:space="preserve">nfrastructure </w:t>
      </w:r>
      <w:r w:rsidRPr="005C29EB">
        <w:rPr>
          <w:rFonts w:ascii="Arial" w:hAnsi="Arial" w:cs="Arial"/>
          <w:sz w:val="22"/>
          <w:szCs w:val="22"/>
        </w:rPr>
        <w:t>P</w:t>
      </w:r>
      <w:r w:rsidR="006520B5" w:rsidRPr="005C29EB">
        <w:rPr>
          <w:rFonts w:ascii="Arial" w:hAnsi="Arial" w:cs="Arial"/>
          <w:sz w:val="22"/>
          <w:szCs w:val="22"/>
        </w:rPr>
        <w:t xml:space="preserve">rogramme </w:t>
      </w:r>
      <w:r w:rsidR="001756D1" w:rsidRPr="005C29EB">
        <w:rPr>
          <w:rFonts w:ascii="Arial" w:hAnsi="Arial" w:cs="Arial"/>
          <w:sz w:val="22"/>
          <w:szCs w:val="22"/>
        </w:rPr>
        <w:t xml:space="preserve">attached at Appendix One </w:t>
      </w:r>
      <w:r w:rsidR="002D6880">
        <w:rPr>
          <w:rFonts w:ascii="Arial" w:hAnsi="Arial" w:cs="Arial"/>
          <w:sz w:val="22"/>
          <w:szCs w:val="22"/>
        </w:rPr>
        <w:t xml:space="preserve">is anticipated to </w:t>
      </w:r>
      <w:r w:rsidR="006520B5" w:rsidRPr="005C29EB">
        <w:rPr>
          <w:rFonts w:ascii="Arial" w:hAnsi="Arial" w:cs="Arial"/>
          <w:sz w:val="22"/>
          <w:szCs w:val="22"/>
        </w:rPr>
        <w:t>unlock</w:t>
      </w:r>
      <w:r w:rsidR="002D6880">
        <w:rPr>
          <w:rFonts w:ascii="Arial" w:hAnsi="Arial" w:cs="Arial"/>
          <w:sz w:val="22"/>
          <w:szCs w:val="22"/>
        </w:rPr>
        <w:t xml:space="preserve"> homes to meet the 414 </w:t>
      </w:r>
      <w:r w:rsidR="006D6FA0">
        <w:rPr>
          <w:rFonts w:ascii="Arial" w:hAnsi="Arial" w:cs="Arial"/>
          <w:sz w:val="22"/>
          <w:szCs w:val="22"/>
        </w:rPr>
        <w:t xml:space="preserve">housing delivery </w:t>
      </w:r>
      <w:r w:rsidR="002D6880">
        <w:rPr>
          <w:rFonts w:ascii="Arial" w:hAnsi="Arial" w:cs="Arial"/>
          <w:sz w:val="22"/>
          <w:szCs w:val="22"/>
        </w:rPr>
        <w:t>target for year one</w:t>
      </w:r>
      <w:r w:rsidR="00E041D6">
        <w:rPr>
          <w:rFonts w:ascii="Arial" w:hAnsi="Arial" w:cs="Arial"/>
          <w:sz w:val="22"/>
          <w:szCs w:val="22"/>
        </w:rPr>
        <w:t>,</w:t>
      </w:r>
      <w:r w:rsidR="002D6880">
        <w:rPr>
          <w:rFonts w:ascii="Arial" w:hAnsi="Arial" w:cs="Arial"/>
          <w:sz w:val="22"/>
          <w:szCs w:val="22"/>
        </w:rPr>
        <w:t xml:space="preserve"> as set out in the Housing and Growth Deal Delivery Plan.</w:t>
      </w:r>
    </w:p>
    <w:p w14:paraId="0229E366" w14:textId="77777777" w:rsidR="00C21F34" w:rsidRDefault="00C21F34" w:rsidP="00C21F34">
      <w:pPr>
        <w:pStyle w:val="ListParagraph"/>
        <w:rPr>
          <w:rFonts w:ascii="Arial" w:hAnsi="Arial" w:cs="Arial"/>
          <w:sz w:val="22"/>
          <w:szCs w:val="22"/>
        </w:rPr>
      </w:pPr>
    </w:p>
    <w:p w14:paraId="1C0568F8" w14:textId="77777777" w:rsidR="006520B5" w:rsidRPr="00901F55" w:rsidRDefault="006520B5" w:rsidP="005C29EB">
      <w:pPr>
        <w:pStyle w:val="ReportPara"/>
        <w:numPr>
          <w:ilvl w:val="0"/>
          <w:numId w:val="2"/>
        </w:numPr>
        <w:spacing w:after="0"/>
        <w:jc w:val="both"/>
        <w:rPr>
          <w:rFonts w:ascii="Arial" w:hAnsi="Arial" w:cs="Arial"/>
          <w:sz w:val="22"/>
          <w:szCs w:val="22"/>
        </w:rPr>
      </w:pPr>
      <w:r w:rsidRPr="00901F55">
        <w:rPr>
          <w:rFonts w:ascii="Arial" w:hAnsi="Arial" w:cs="Arial"/>
          <w:sz w:val="22"/>
          <w:szCs w:val="22"/>
        </w:rPr>
        <w:t xml:space="preserve">The Board will recognise that, whilst infrastructure is a key issue in housing delivery there </w:t>
      </w:r>
      <w:r w:rsidR="0050281B" w:rsidRPr="00901F55">
        <w:rPr>
          <w:rFonts w:ascii="Arial" w:hAnsi="Arial" w:cs="Arial"/>
          <w:sz w:val="22"/>
          <w:szCs w:val="22"/>
        </w:rPr>
        <w:t>are challenges</w:t>
      </w:r>
      <w:r w:rsidRPr="00901F55">
        <w:rPr>
          <w:rFonts w:ascii="Arial" w:hAnsi="Arial" w:cs="Arial"/>
          <w:sz w:val="22"/>
          <w:szCs w:val="22"/>
        </w:rPr>
        <w:t xml:space="preserve"> that require resolution to bring housing development forward and the key task for the relevant officers will be to ensure that these homes are delivered</w:t>
      </w:r>
      <w:r w:rsidR="00DA46BD" w:rsidRPr="00901F55">
        <w:rPr>
          <w:rFonts w:ascii="Arial" w:hAnsi="Arial" w:cs="Arial"/>
          <w:sz w:val="22"/>
          <w:szCs w:val="22"/>
        </w:rPr>
        <w:t>.</w:t>
      </w:r>
    </w:p>
    <w:p w14:paraId="1698AC51" w14:textId="77777777" w:rsidR="006520B5" w:rsidRPr="00901F55" w:rsidRDefault="006520B5" w:rsidP="006520B5">
      <w:pPr>
        <w:pStyle w:val="ListParagraph"/>
        <w:rPr>
          <w:rFonts w:ascii="Arial" w:hAnsi="Arial" w:cs="Arial"/>
          <w:sz w:val="22"/>
          <w:szCs w:val="22"/>
        </w:rPr>
      </w:pPr>
    </w:p>
    <w:p w14:paraId="7A176F12" w14:textId="13944169" w:rsidR="006520B5" w:rsidRPr="00901F55" w:rsidRDefault="006520B5" w:rsidP="005C29EB">
      <w:pPr>
        <w:pStyle w:val="ReportPara"/>
        <w:numPr>
          <w:ilvl w:val="0"/>
          <w:numId w:val="2"/>
        </w:numPr>
        <w:spacing w:after="0"/>
        <w:jc w:val="both"/>
        <w:rPr>
          <w:rFonts w:ascii="Arial" w:hAnsi="Arial" w:cs="Arial"/>
          <w:sz w:val="22"/>
          <w:szCs w:val="22"/>
        </w:rPr>
      </w:pPr>
      <w:r w:rsidRPr="00901F55">
        <w:rPr>
          <w:rFonts w:ascii="Arial" w:hAnsi="Arial" w:cs="Arial"/>
          <w:sz w:val="22"/>
          <w:szCs w:val="22"/>
        </w:rPr>
        <w:t>The capacity fund accompanying the Deal will be used in part to draw together the resources needed to ensure a cohesive partnership approach to ensuring housing delivery</w:t>
      </w:r>
      <w:r w:rsidR="00DA46BD" w:rsidRPr="00901F55">
        <w:rPr>
          <w:rFonts w:ascii="Arial" w:hAnsi="Arial" w:cs="Arial"/>
          <w:sz w:val="22"/>
          <w:szCs w:val="22"/>
        </w:rPr>
        <w:t>.</w:t>
      </w:r>
    </w:p>
    <w:p w14:paraId="700D08F6" w14:textId="77777777" w:rsidR="00DA46BD" w:rsidRPr="00901F55" w:rsidRDefault="00DA46BD" w:rsidP="00DA46BD">
      <w:pPr>
        <w:pStyle w:val="ListParagraph"/>
        <w:rPr>
          <w:rFonts w:ascii="Arial" w:hAnsi="Arial" w:cs="Arial"/>
          <w:sz w:val="22"/>
          <w:szCs w:val="22"/>
        </w:rPr>
      </w:pPr>
    </w:p>
    <w:p w14:paraId="71E6DE2A" w14:textId="049648D5" w:rsidR="002D6880" w:rsidRDefault="002D6880" w:rsidP="00E041D6">
      <w:pPr>
        <w:pStyle w:val="ListParagraph"/>
        <w:ind w:left="502"/>
        <w:jc w:val="both"/>
        <w:rPr>
          <w:rFonts w:ascii="Arial" w:hAnsi="Arial" w:cs="Arial"/>
          <w:sz w:val="22"/>
          <w:szCs w:val="22"/>
        </w:rPr>
      </w:pPr>
    </w:p>
    <w:p w14:paraId="50129B87" w14:textId="77777777" w:rsidR="00E041D6" w:rsidRDefault="00E041D6" w:rsidP="00E041D6">
      <w:pPr>
        <w:pStyle w:val="ListParagraph"/>
        <w:ind w:left="502"/>
        <w:jc w:val="both"/>
        <w:rPr>
          <w:rFonts w:ascii="Arial" w:hAnsi="Arial" w:cs="Arial"/>
          <w:sz w:val="22"/>
          <w:szCs w:val="22"/>
        </w:rPr>
      </w:pPr>
    </w:p>
    <w:p w14:paraId="74E57B1B" w14:textId="77777777" w:rsidR="00E041D6" w:rsidRDefault="00E041D6" w:rsidP="00E041D6">
      <w:pPr>
        <w:pStyle w:val="ListParagraph"/>
        <w:ind w:left="502"/>
        <w:jc w:val="both"/>
        <w:rPr>
          <w:rFonts w:ascii="Arial" w:hAnsi="Arial" w:cs="Arial"/>
          <w:sz w:val="22"/>
          <w:szCs w:val="22"/>
        </w:rPr>
      </w:pPr>
    </w:p>
    <w:p w14:paraId="22B0BEAF" w14:textId="77777777" w:rsidR="00E041D6" w:rsidRDefault="00E041D6" w:rsidP="00E041D6">
      <w:pPr>
        <w:pStyle w:val="ListParagraph"/>
        <w:ind w:left="502"/>
        <w:jc w:val="both"/>
        <w:rPr>
          <w:rFonts w:ascii="Arial" w:hAnsi="Arial" w:cs="Arial"/>
          <w:sz w:val="22"/>
          <w:szCs w:val="22"/>
        </w:rPr>
      </w:pPr>
    </w:p>
    <w:p w14:paraId="50E8A821" w14:textId="77777777" w:rsidR="002D6880" w:rsidRPr="00901F55" w:rsidRDefault="002D6880" w:rsidP="00BE7729">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 xml:space="preserve">AFFORDABLE HOUSING </w:t>
      </w:r>
      <w:r>
        <w:rPr>
          <w:rFonts w:ascii="Arial" w:hAnsi="Arial" w:cs="Arial"/>
          <w:b/>
          <w:sz w:val="22"/>
          <w:szCs w:val="22"/>
        </w:rPr>
        <w:t>PROGRAMME</w:t>
      </w:r>
    </w:p>
    <w:p w14:paraId="0886C991" w14:textId="77777777" w:rsidR="00DB0382" w:rsidRPr="00901F55" w:rsidRDefault="00DB0382" w:rsidP="00B50F33">
      <w:pPr>
        <w:pStyle w:val="ReportPara"/>
        <w:numPr>
          <w:ilvl w:val="0"/>
          <w:numId w:val="0"/>
        </w:numPr>
        <w:spacing w:after="0"/>
        <w:ind w:left="720"/>
        <w:jc w:val="both"/>
        <w:rPr>
          <w:rFonts w:ascii="Arial" w:hAnsi="Arial" w:cs="Arial"/>
          <w:sz w:val="22"/>
          <w:szCs w:val="22"/>
        </w:rPr>
      </w:pPr>
    </w:p>
    <w:p w14:paraId="35EF6F68" w14:textId="77777777" w:rsidR="003048F2" w:rsidRPr="00901F55" w:rsidRDefault="009A6498" w:rsidP="005C29EB">
      <w:pPr>
        <w:pStyle w:val="ReportPara"/>
        <w:numPr>
          <w:ilvl w:val="0"/>
          <w:numId w:val="2"/>
        </w:numPr>
        <w:spacing w:after="0"/>
        <w:jc w:val="both"/>
        <w:rPr>
          <w:rFonts w:ascii="Arial" w:hAnsi="Arial" w:cs="Arial"/>
          <w:sz w:val="22"/>
          <w:szCs w:val="22"/>
        </w:rPr>
      </w:pPr>
      <w:r w:rsidRPr="00901F55">
        <w:rPr>
          <w:rFonts w:ascii="Arial" w:hAnsi="Arial" w:cs="Arial"/>
          <w:sz w:val="22"/>
          <w:szCs w:val="22"/>
        </w:rPr>
        <w:t xml:space="preserve">In addition to infrastructure </w:t>
      </w:r>
      <w:r w:rsidR="00A91BD5" w:rsidRPr="00901F55">
        <w:rPr>
          <w:rFonts w:ascii="Arial" w:hAnsi="Arial" w:cs="Arial"/>
          <w:sz w:val="22"/>
          <w:szCs w:val="22"/>
        </w:rPr>
        <w:t>funding,</w:t>
      </w:r>
      <w:r w:rsidRPr="00901F55">
        <w:rPr>
          <w:rFonts w:ascii="Arial" w:hAnsi="Arial" w:cs="Arial"/>
          <w:sz w:val="22"/>
          <w:szCs w:val="22"/>
        </w:rPr>
        <w:t xml:space="preserve"> the </w:t>
      </w:r>
      <w:r w:rsidR="00CF2F5C" w:rsidRPr="00901F55">
        <w:rPr>
          <w:rFonts w:ascii="Arial" w:hAnsi="Arial" w:cs="Arial"/>
          <w:sz w:val="22"/>
          <w:szCs w:val="22"/>
        </w:rPr>
        <w:t>G</w:t>
      </w:r>
      <w:r w:rsidRPr="00901F55">
        <w:rPr>
          <w:rFonts w:ascii="Arial" w:hAnsi="Arial" w:cs="Arial"/>
          <w:sz w:val="22"/>
          <w:szCs w:val="22"/>
        </w:rPr>
        <w:t>overnment are providing £60 million</w:t>
      </w:r>
      <w:r w:rsidR="00CF2F5C" w:rsidRPr="00901F55">
        <w:rPr>
          <w:rFonts w:ascii="Arial" w:hAnsi="Arial" w:cs="Arial"/>
          <w:sz w:val="22"/>
          <w:szCs w:val="22"/>
        </w:rPr>
        <w:t xml:space="preserve"> over three years for additional affordable housing</w:t>
      </w:r>
      <w:r w:rsidR="00D26888" w:rsidRPr="00901F55">
        <w:rPr>
          <w:rFonts w:ascii="Arial" w:hAnsi="Arial" w:cs="Arial"/>
          <w:sz w:val="22"/>
          <w:szCs w:val="22"/>
        </w:rPr>
        <w:t xml:space="preserve"> in a bespoke fund for </w:t>
      </w:r>
      <w:r w:rsidR="00E069D4" w:rsidRPr="00901F55">
        <w:rPr>
          <w:rFonts w:ascii="Arial" w:hAnsi="Arial" w:cs="Arial"/>
          <w:sz w:val="22"/>
          <w:szCs w:val="22"/>
        </w:rPr>
        <w:t>Oxfordshire</w:t>
      </w:r>
      <w:r w:rsidR="00CF2F5C" w:rsidRPr="00901F55">
        <w:rPr>
          <w:rFonts w:ascii="Arial" w:hAnsi="Arial" w:cs="Arial"/>
          <w:sz w:val="22"/>
          <w:szCs w:val="22"/>
        </w:rPr>
        <w:t>. This will deliver a range of different affordable housing types and tenures over this period and the partners will be exploring ways of maximising the utility of this fund through different delivery models and partnerships.</w:t>
      </w:r>
    </w:p>
    <w:p w14:paraId="3D91B74E" w14:textId="77777777" w:rsidR="003048F2" w:rsidRPr="00901F55" w:rsidRDefault="003048F2" w:rsidP="003048F2">
      <w:pPr>
        <w:pStyle w:val="ReportPara"/>
        <w:numPr>
          <w:ilvl w:val="0"/>
          <w:numId w:val="0"/>
        </w:numPr>
        <w:tabs>
          <w:tab w:val="num" w:pos="1142"/>
        </w:tabs>
        <w:spacing w:after="0"/>
        <w:ind w:left="1080"/>
        <w:jc w:val="both"/>
        <w:rPr>
          <w:rFonts w:ascii="Arial" w:hAnsi="Arial" w:cs="Arial"/>
          <w:sz w:val="22"/>
          <w:szCs w:val="22"/>
        </w:rPr>
      </w:pPr>
    </w:p>
    <w:p w14:paraId="1A3212F7" w14:textId="77777777" w:rsidR="00B23B21" w:rsidRPr="00901F55" w:rsidRDefault="00B23B21" w:rsidP="005C29EB">
      <w:pPr>
        <w:pStyle w:val="ListParagraph"/>
        <w:numPr>
          <w:ilvl w:val="0"/>
          <w:numId w:val="2"/>
        </w:numPr>
        <w:autoSpaceDE w:val="0"/>
        <w:autoSpaceDN w:val="0"/>
        <w:adjustRightInd w:val="0"/>
        <w:jc w:val="both"/>
        <w:rPr>
          <w:rFonts w:ascii="Arial" w:hAnsi="Arial" w:cs="Arial"/>
          <w:sz w:val="22"/>
          <w:szCs w:val="22"/>
        </w:rPr>
      </w:pPr>
      <w:r w:rsidRPr="00901F55">
        <w:rPr>
          <w:rFonts w:ascii="Arial" w:hAnsi="Arial" w:cs="Arial"/>
          <w:sz w:val="22"/>
          <w:szCs w:val="22"/>
        </w:rPr>
        <w:t>The Delivery Plan sets out an indicative trajectory for the Affordable Housing Programme</w:t>
      </w:r>
      <w:r w:rsidR="00D43377" w:rsidRPr="00901F55">
        <w:rPr>
          <w:rFonts w:ascii="Arial" w:hAnsi="Arial" w:cs="Arial"/>
          <w:sz w:val="22"/>
          <w:szCs w:val="22"/>
        </w:rPr>
        <w:t xml:space="preserve"> </w:t>
      </w:r>
      <w:r w:rsidRPr="00901F55">
        <w:rPr>
          <w:rFonts w:ascii="Arial" w:hAnsi="Arial" w:cs="Arial"/>
          <w:sz w:val="22"/>
          <w:szCs w:val="22"/>
        </w:rPr>
        <w:t xml:space="preserve">and commitment to delivering </w:t>
      </w:r>
      <w:r w:rsidR="00BA070B" w:rsidRPr="00901F55">
        <w:rPr>
          <w:rFonts w:ascii="Arial" w:hAnsi="Arial" w:cs="Arial"/>
          <w:sz w:val="22"/>
          <w:szCs w:val="22"/>
        </w:rPr>
        <w:t>1,320</w:t>
      </w:r>
      <w:r w:rsidRPr="00901F55">
        <w:rPr>
          <w:rFonts w:ascii="Arial" w:hAnsi="Arial" w:cs="Arial"/>
          <w:sz w:val="22"/>
          <w:szCs w:val="22"/>
        </w:rPr>
        <w:t xml:space="preserve"> affordable homes to start on site by March</w:t>
      </w:r>
      <w:r w:rsidR="00D43377" w:rsidRPr="00901F55">
        <w:rPr>
          <w:rFonts w:ascii="Arial" w:hAnsi="Arial" w:cs="Arial"/>
          <w:sz w:val="22"/>
          <w:szCs w:val="22"/>
        </w:rPr>
        <w:t xml:space="preserve"> </w:t>
      </w:r>
      <w:r w:rsidRPr="00901F55">
        <w:rPr>
          <w:rFonts w:ascii="Arial" w:hAnsi="Arial" w:cs="Arial"/>
          <w:sz w:val="22"/>
          <w:szCs w:val="22"/>
        </w:rPr>
        <w:t xml:space="preserve">2021. </w:t>
      </w:r>
      <w:r w:rsidR="00D43377" w:rsidRPr="00901F55">
        <w:rPr>
          <w:rFonts w:ascii="Arial" w:hAnsi="Arial" w:cs="Arial"/>
          <w:sz w:val="22"/>
          <w:szCs w:val="22"/>
        </w:rPr>
        <w:t>The Delivery Plan commits the Growth Board to agreeing the first year of the Affordable Housing Delivery Programme by 31st March, with a second and third year programme to be completed by September 2018</w:t>
      </w:r>
    </w:p>
    <w:p w14:paraId="0E0E493A" w14:textId="77777777" w:rsidR="00D43377" w:rsidRPr="00901F55" w:rsidRDefault="00D43377" w:rsidP="00D43377">
      <w:pPr>
        <w:pStyle w:val="ListParagraph"/>
        <w:rPr>
          <w:rFonts w:ascii="Arial" w:hAnsi="Arial" w:cs="Arial"/>
          <w:sz w:val="22"/>
          <w:szCs w:val="22"/>
        </w:rPr>
      </w:pPr>
    </w:p>
    <w:p w14:paraId="551BF216" w14:textId="77777777" w:rsidR="00EE586B" w:rsidRPr="00EE586B" w:rsidRDefault="00D43377" w:rsidP="005C29EB">
      <w:pPr>
        <w:pStyle w:val="ListParagraph"/>
        <w:numPr>
          <w:ilvl w:val="0"/>
          <w:numId w:val="2"/>
        </w:numPr>
        <w:autoSpaceDE w:val="0"/>
        <w:autoSpaceDN w:val="0"/>
        <w:adjustRightInd w:val="0"/>
        <w:jc w:val="both"/>
        <w:rPr>
          <w:rFonts w:ascii="Arial" w:hAnsi="Arial" w:cs="Arial"/>
          <w:sz w:val="22"/>
          <w:szCs w:val="22"/>
        </w:rPr>
      </w:pPr>
      <w:r w:rsidRPr="00EE586B">
        <w:rPr>
          <w:rFonts w:ascii="Arial" w:hAnsi="Arial" w:cs="Arial"/>
          <w:sz w:val="22"/>
          <w:szCs w:val="22"/>
        </w:rPr>
        <w:t xml:space="preserve"> </w:t>
      </w:r>
      <w:r w:rsidR="00EE586B">
        <w:rPr>
          <w:rFonts w:ascii="Arial" w:hAnsi="Arial" w:cs="Arial"/>
          <w:sz w:val="22"/>
          <w:szCs w:val="22"/>
        </w:rPr>
        <w:t>The Bo</w:t>
      </w:r>
      <w:r w:rsidR="0050281B">
        <w:rPr>
          <w:rFonts w:ascii="Arial" w:hAnsi="Arial" w:cs="Arial"/>
          <w:sz w:val="22"/>
          <w:szCs w:val="22"/>
        </w:rPr>
        <w:t>ard should note that the Y</w:t>
      </w:r>
      <w:r w:rsidR="00EE586B">
        <w:rPr>
          <w:rFonts w:ascii="Arial" w:hAnsi="Arial" w:cs="Arial"/>
          <w:sz w:val="22"/>
          <w:szCs w:val="22"/>
        </w:rPr>
        <w:t xml:space="preserve">ear One programme allows for </w:t>
      </w:r>
      <w:r w:rsidR="005C29EB">
        <w:rPr>
          <w:rFonts w:ascii="Arial" w:hAnsi="Arial" w:cs="Arial"/>
          <w:sz w:val="22"/>
          <w:szCs w:val="22"/>
        </w:rPr>
        <w:t>flexibility.</w:t>
      </w:r>
      <w:r w:rsidR="00EE586B">
        <w:rPr>
          <w:rFonts w:ascii="Arial" w:hAnsi="Arial" w:cs="Arial"/>
          <w:sz w:val="22"/>
          <w:szCs w:val="22"/>
        </w:rPr>
        <w:t xml:space="preserve"> </w:t>
      </w:r>
      <w:r w:rsidRPr="00EE586B">
        <w:rPr>
          <w:rFonts w:ascii="Arial" w:hAnsi="Arial" w:cs="Arial"/>
          <w:sz w:val="22"/>
          <w:szCs w:val="22"/>
        </w:rPr>
        <w:t xml:space="preserve">Oxfordshire councils have drawn together a </w:t>
      </w:r>
      <w:r w:rsidR="005D4AB8" w:rsidRPr="00EE586B">
        <w:rPr>
          <w:rFonts w:ascii="Arial" w:hAnsi="Arial" w:cs="Arial"/>
          <w:sz w:val="22"/>
          <w:szCs w:val="22"/>
        </w:rPr>
        <w:t>Y</w:t>
      </w:r>
      <w:r w:rsidRPr="00EE586B">
        <w:rPr>
          <w:rFonts w:ascii="Arial" w:hAnsi="Arial" w:cs="Arial"/>
          <w:sz w:val="22"/>
          <w:szCs w:val="22"/>
        </w:rPr>
        <w:t xml:space="preserve">ear </w:t>
      </w:r>
      <w:r w:rsidR="005D4AB8" w:rsidRPr="00EE586B">
        <w:rPr>
          <w:rFonts w:ascii="Arial" w:hAnsi="Arial" w:cs="Arial"/>
          <w:sz w:val="22"/>
          <w:szCs w:val="22"/>
        </w:rPr>
        <w:t xml:space="preserve">One </w:t>
      </w:r>
      <w:r w:rsidRPr="00EE586B">
        <w:rPr>
          <w:rFonts w:ascii="Arial" w:hAnsi="Arial" w:cs="Arial"/>
          <w:sz w:val="22"/>
          <w:szCs w:val="22"/>
        </w:rPr>
        <w:t>programme</w:t>
      </w:r>
      <w:r w:rsidR="00EE586B">
        <w:rPr>
          <w:rFonts w:ascii="Arial" w:hAnsi="Arial" w:cs="Arial"/>
          <w:sz w:val="22"/>
          <w:szCs w:val="22"/>
        </w:rPr>
        <w:t xml:space="preserve"> </w:t>
      </w:r>
      <w:r w:rsidRPr="00EE586B">
        <w:rPr>
          <w:rFonts w:ascii="Arial" w:hAnsi="Arial" w:cs="Arial"/>
          <w:sz w:val="22"/>
          <w:szCs w:val="22"/>
        </w:rPr>
        <w:t xml:space="preserve">totalling </w:t>
      </w:r>
      <w:r w:rsidR="005D4AB8" w:rsidRPr="00EE586B">
        <w:rPr>
          <w:rFonts w:ascii="Arial" w:hAnsi="Arial" w:cs="Arial"/>
          <w:sz w:val="22"/>
          <w:szCs w:val="22"/>
        </w:rPr>
        <w:t xml:space="preserve">229 </w:t>
      </w:r>
      <w:r w:rsidR="00EE586B">
        <w:rPr>
          <w:rFonts w:ascii="Arial" w:hAnsi="Arial" w:cs="Arial"/>
          <w:sz w:val="22"/>
          <w:szCs w:val="22"/>
        </w:rPr>
        <w:t>units across all the districts</w:t>
      </w:r>
      <w:r w:rsidR="00EE586B" w:rsidRPr="00EE586B">
        <w:rPr>
          <w:rFonts w:ascii="Arial" w:hAnsi="Arial" w:cs="Arial"/>
          <w:sz w:val="22"/>
          <w:szCs w:val="22"/>
        </w:rPr>
        <w:t xml:space="preserve"> </w:t>
      </w:r>
      <w:r w:rsidR="005C29EB">
        <w:rPr>
          <w:rFonts w:ascii="Arial" w:hAnsi="Arial" w:cs="Arial"/>
          <w:sz w:val="22"/>
          <w:szCs w:val="22"/>
        </w:rPr>
        <w:t xml:space="preserve">against </w:t>
      </w:r>
      <w:r w:rsidR="00EE586B" w:rsidRPr="00EE586B">
        <w:rPr>
          <w:rFonts w:ascii="Arial" w:hAnsi="Arial" w:cs="Arial"/>
          <w:sz w:val="22"/>
          <w:szCs w:val="22"/>
        </w:rPr>
        <w:t xml:space="preserve">a target of just 148 </w:t>
      </w:r>
      <w:r w:rsidR="001756D1">
        <w:rPr>
          <w:rFonts w:ascii="Arial" w:hAnsi="Arial" w:cs="Arial"/>
          <w:sz w:val="22"/>
          <w:szCs w:val="22"/>
        </w:rPr>
        <w:t xml:space="preserve">in the agreed Delivery Plan </w:t>
      </w:r>
      <w:r w:rsidR="00EE586B" w:rsidRPr="00EE586B">
        <w:rPr>
          <w:rFonts w:ascii="Arial" w:hAnsi="Arial" w:cs="Arial"/>
          <w:sz w:val="22"/>
          <w:szCs w:val="22"/>
        </w:rPr>
        <w:t>for the first year. Th</w:t>
      </w:r>
      <w:r w:rsidR="00EE586B">
        <w:rPr>
          <w:rFonts w:ascii="Arial" w:hAnsi="Arial" w:cs="Arial"/>
          <w:sz w:val="22"/>
          <w:szCs w:val="22"/>
        </w:rPr>
        <w:t xml:space="preserve">is </w:t>
      </w:r>
      <w:r w:rsidR="005C29EB">
        <w:rPr>
          <w:rFonts w:ascii="Arial" w:hAnsi="Arial" w:cs="Arial"/>
          <w:sz w:val="22"/>
          <w:szCs w:val="22"/>
        </w:rPr>
        <w:t xml:space="preserve">reflects our ambition to deliver over and above the agreed delivery plan, an ambition reinforced by agreed flexibility within the programme that allows other sites to come forward. These opportunities to flex the programme  </w:t>
      </w:r>
      <w:r w:rsidR="00EE586B" w:rsidRPr="00EE586B">
        <w:rPr>
          <w:rFonts w:ascii="Arial" w:hAnsi="Arial" w:cs="Arial"/>
          <w:sz w:val="22"/>
          <w:szCs w:val="22"/>
        </w:rPr>
        <w:t xml:space="preserve"> will be</w:t>
      </w:r>
      <w:r w:rsidR="00EE586B">
        <w:rPr>
          <w:rFonts w:ascii="Arial" w:hAnsi="Arial" w:cs="Arial"/>
          <w:sz w:val="22"/>
          <w:szCs w:val="22"/>
        </w:rPr>
        <w:t xml:space="preserve"> reviewed </w:t>
      </w:r>
      <w:r w:rsidR="00EE586B" w:rsidRPr="00EE586B">
        <w:rPr>
          <w:rFonts w:ascii="Arial" w:hAnsi="Arial" w:cs="Arial"/>
          <w:sz w:val="22"/>
          <w:szCs w:val="22"/>
        </w:rPr>
        <w:t>as part of our on-going monitoring process</w:t>
      </w:r>
    </w:p>
    <w:p w14:paraId="2C2322CA" w14:textId="77777777" w:rsidR="00EE586B" w:rsidRDefault="00EE586B" w:rsidP="00EE586B">
      <w:pPr>
        <w:pStyle w:val="ListParagraph"/>
        <w:autoSpaceDE w:val="0"/>
        <w:autoSpaceDN w:val="0"/>
        <w:adjustRightInd w:val="0"/>
        <w:ind w:left="502"/>
        <w:jc w:val="both"/>
        <w:rPr>
          <w:rFonts w:ascii="Arial" w:hAnsi="Arial" w:cs="Arial"/>
          <w:sz w:val="22"/>
          <w:szCs w:val="22"/>
        </w:rPr>
      </w:pPr>
    </w:p>
    <w:p w14:paraId="5AFA6F54" w14:textId="77777777" w:rsidR="00D43377" w:rsidRPr="00901F55" w:rsidRDefault="00D43377" w:rsidP="005C29EB">
      <w:pPr>
        <w:pStyle w:val="ListParagraph"/>
        <w:numPr>
          <w:ilvl w:val="0"/>
          <w:numId w:val="2"/>
        </w:numPr>
        <w:autoSpaceDE w:val="0"/>
        <w:autoSpaceDN w:val="0"/>
        <w:adjustRightInd w:val="0"/>
        <w:jc w:val="both"/>
        <w:rPr>
          <w:rFonts w:ascii="Arial" w:hAnsi="Arial" w:cs="Arial"/>
          <w:sz w:val="22"/>
          <w:szCs w:val="22"/>
        </w:rPr>
      </w:pPr>
      <w:r w:rsidRPr="00901F55">
        <w:rPr>
          <w:rFonts w:ascii="Arial" w:hAnsi="Arial" w:cs="Arial"/>
          <w:sz w:val="22"/>
          <w:szCs w:val="22"/>
        </w:rPr>
        <w:t xml:space="preserve">The programme delivers a range of affordable housing types, social and affordable rented and low costs home ownership. </w:t>
      </w:r>
      <w:r w:rsidR="00BA070B" w:rsidRPr="00901F55">
        <w:rPr>
          <w:rFonts w:ascii="Arial" w:hAnsi="Arial" w:cs="Arial"/>
          <w:sz w:val="22"/>
          <w:szCs w:val="22"/>
        </w:rPr>
        <w:t>Registered Providers in the rural districts will deliver the homes</w:t>
      </w:r>
      <w:r w:rsidR="00B50F33">
        <w:rPr>
          <w:rFonts w:ascii="Arial" w:hAnsi="Arial" w:cs="Arial"/>
          <w:sz w:val="22"/>
          <w:szCs w:val="22"/>
        </w:rPr>
        <w:t xml:space="preserve"> whilst the Oxford Local Housing Company will deliver the Year O</w:t>
      </w:r>
      <w:r w:rsidRPr="00901F55">
        <w:rPr>
          <w:rFonts w:ascii="Arial" w:hAnsi="Arial" w:cs="Arial"/>
          <w:sz w:val="22"/>
          <w:szCs w:val="22"/>
        </w:rPr>
        <w:t xml:space="preserve">ne programme in </w:t>
      </w:r>
      <w:r w:rsidR="00B50F33">
        <w:rPr>
          <w:rFonts w:ascii="Arial" w:hAnsi="Arial" w:cs="Arial"/>
          <w:sz w:val="22"/>
          <w:szCs w:val="22"/>
        </w:rPr>
        <w:t>the city</w:t>
      </w:r>
      <w:r w:rsidRPr="00901F55">
        <w:rPr>
          <w:rFonts w:ascii="Arial" w:hAnsi="Arial" w:cs="Arial"/>
          <w:sz w:val="22"/>
          <w:szCs w:val="22"/>
        </w:rPr>
        <w:t>.</w:t>
      </w:r>
    </w:p>
    <w:p w14:paraId="548DE273" w14:textId="77777777" w:rsidR="00D43377" w:rsidRPr="00901F55" w:rsidRDefault="00D43377" w:rsidP="00D43377">
      <w:pPr>
        <w:pStyle w:val="ListParagraph"/>
        <w:rPr>
          <w:rFonts w:ascii="Arial" w:hAnsi="Arial" w:cs="Arial"/>
          <w:sz w:val="22"/>
          <w:szCs w:val="22"/>
        </w:rPr>
      </w:pPr>
    </w:p>
    <w:p w14:paraId="6235360F" w14:textId="77777777" w:rsidR="00D43377" w:rsidRPr="00901F55" w:rsidRDefault="00D43377" w:rsidP="005C29EB">
      <w:pPr>
        <w:pStyle w:val="ListParagraph"/>
        <w:numPr>
          <w:ilvl w:val="0"/>
          <w:numId w:val="2"/>
        </w:numPr>
        <w:autoSpaceDE w:val="0"/>
        <w:autoSpaceDN w:val="0"/>
        <w:adjustRightInd w:val="0"/>
        <w:jc w:val="both"/>
        <w:rPr>
          <w:rFonts w:ascii="Arial" w:hAnsi="Arial" w:cs="Arial"/>
          <w:sz w:val="22"/>
          <w:szCs w:val="22"/>
        </w:rPr>
      </w:pPr>
      <w:r w:rsidRPr="00901F55">
        <w:rPr>
          <w:rFonts w:ascii="Arial" w:hAnsi="Arial" w:cs="Arial"/>
          <w:sz w:val="22"/>
          <w:szCs w:val="22"/>
        </w:rPr>
        <w:t>Inevitably, due to the pace of the programme we will be delivering the year one programme through established delivery mechanisms</w:t>
      </w:r>
      <w:r w:rsidR="00EC535E">
        <w:rPr>
          <w:rFonts w:ascii="Arial" w:hAnsi="Arial" w:cs="Arial"/>
          <w:sz w:val="22"/>
          <w:szCs w:val="22"/>
        </w:rPr>
        <w:t xml:space="preserve"> and taking advantage of existing opportunities across the county</w:t>
      </w:r>
      <w:r w:rsidRPr="00901F55">
        <w:rPr>
          <w:rFonts w:ascii="Arial" w:hAnsi="Arial" w:cs="Arial"/>
          <w:sz w:val="22"/>
          <w:szCs w:val="22"/>
        </w:rPr>
        <w:t xml:space="preserve">. However, central to our agreement of the Deal is a commitment to explore innovative ways </w:t>
      </w:r>
      <w:r w:rsidR="00B50F33" w:rsidRPr="00901F55">
        <w:rPr>
          <w:rFonts w:ascii="Arial" w:hAnsi="Arial" w:cs="Arial"/>
          <w:sz w:val="22"/>
          <w:szCs w:val="22"/>
        </w:rPr>
        <w:t>of delivering</w:t>
      </w:r>
      <w:r w:rsidRPr="00901F55">
        <w:rPr>
          <w:rFonts w:ascii="Arial" w:hAnsi="Arial" w:cs="Arial"/>
          <w:sz w:val="22"/>
          <w:szCs w:val="22"/>
        </w:rPr>
        <w:t xml:space="preserve"> additional affordable housing units and officers will be seeking to explore various options for years two and three of the programme</w:t>
      </w:r>
      <w:r w:rsidR="00EC535E">
        <w:rPr>
          <w:rFonts w:ascii="Arial" w:hAnsi="Arial" w:cs="Arial"/>
          <w:sz w:val="22"/>
          <w:szCs w:val="22"/>
        </w:rPr>
        <w:t>. This will also provide opportunity to balance the tenure and geographic sp</w:t>
      </w:r>
      <w:r w:rsidR="0050281B">
        <w:rPr>
          <w:rFonts w:ascii="Arial" w:hAnsi="Arial" w:cs="Arial"/>
          <w:sz w:val="22"/>
          <w:szCs w:val="22"/>
        </w:rPr>
        <w:t xml:space="preserve">lit of the programme, to </w:t>
      </w:r>
      <w:r w:rsidR="00EC535E">
        <w:rPr>
          <w:rFonts w:ascii="Arial" w:hAnsi="Arial" w:cs="Arial"/>
          <w:sz w:val="22"/>
          <w:szCs w:val="22"/>
        </w:rPr>
        <w:t>reflect both need and our aspirations for the programme.</w:t>
      </w:r>
    </w:p>
    <w:p w14:paraId="2E67C6F3" w14:textId="77777777" w:rsidR="00DA46BD" w:rsidRPr="00901F55" w:rsidRDefault="00DA46BD" w:rsidP="00DA46BD">
      <w:pPr>
        <w:pStyle w:val="ListParagraph"/>
        <w:rPr>
          <w:rFonts w:ascii="Arial" w:hAnsi="Arial" w:cs="Arial"/>
          <w:sz w:val="22"/>
          <w:szCs w:val="22"/>
        </w:rPr>
      </w:pPr>
    </w:p>
    <w:p w14:paraId="5E482886" w14:textId="77777777" w:rsidR="00DA46BD" w:rsidRPr="00EC535E" w:rsidRDefault="00B50F33" w:rsidP="005C29EB">
      <w:pPr>
        <w:pStyle w:val="ListParagraph"/>
        <w:numPr>
          <w:ilvl w:val="0"/>
          <w:numId w:val="2"/>
        </w:numPr>
        <w:autoSpaceDE w:val="0"/>
        <w:autoSpaceDN w:val="0"/>
        <w:adjustRightInd w:val="0"/>
        <w:jc w:val="both"/>
        <w:rPr>
          <w:rFonts w:ascii="Arial" w:hAnsi="Arial" w:cs="Arial"/>
          <w:sz w:val="22"/>
          <w:szCs w:val="22"/>
        </w:rPr>
      </w:pPr>
      <w:r>
        <w:rPr>
          <w:rFonts w:ascii="Arial" w:hAnsi="Arial" w:cs="Arial"/>
          <w:sz w:val="22"/>
          <w:szCs w:val="22"/>
        </w:rPr>
        <w:t>The Year O</w:t>
      </w:r>
      <w:r w:rsidR="00DA46BD" w:rsidRPr="00901F55">
        <w:rPr>
          <w:rFonts w:ascii="Arial" w:hAnsi="Arial" w:cs="Arial"/>
          <w:sz w:val="22"/>
          <w:szCs w:val="22"/>
        </w:rPr>
        <w:t xml:space="preserve">ne programme has been audited by Homes England who </w:t>
      </w:r>
      <w:r w:rsidR="0050281B" w:rsidRPr="00901F55">
        <w:rPr>
          <w:rFonts w:ascii="Arial" w:hAnsi="Arial" w:cs="Arial"/>
          <w:sz w:val="22"/>
          <w:szCs w:val="22"/>
        </w:rPr>
        <w:t>has</w:t>
      </w:r>
      <w:r w:rsidR="00DA46BD" w:rsidRPr="00901F55">
        <w:rPr>
          <w:rFonts w:ascii="Arial" w:hAnsi="Arial" w:cs="Arial"/>
          <w:sz w:val="22"/>
          <w:szCs w:val="22"/>
        </w:rPr>
        <w:t xml:space="preserve"> confirmed that all units offered are potentially deliverable and that they are content they </w:t>
      </w:r>
      <w:r w:rsidR="0050281B" w:rsidRPr="00901F55">
        <w:rPr>
          <w:rFonts w:ascii="Arial" w:hAnsi="Arial" w:cs="Arial"/>
          <w:sz w:val="22"/>
          <w:szCs w:val="22"/>
        </w:rPr>
        <w:t>are</w:t>
      </w:r>
      <w:r w:rsidR="00DA46BD" w:rsidRPr="00901F55">
        <w:rPr>
          <w:rFonts w:ascii="Arial" w:hAnsi="Arial" w:cs="Arial"/>
          <w:sz w:val="22"/>
          <w:szCs w:val="22"/>
        </w:rPr>
        <w:t xml:space="preserve"> offered in the</w:t>
      </w:r>
      <w:r>
        <w:rPr>
          <w:rFonts w:ascii="Arial" w:hAnsi="Arial" w:cs="Arial"/>
          <w:sz w:val="22"/>
          <w:szCs w:val="22"/>
        </w:rPr>
        <w:t xml:space="preserve"> </w:t>
      </w:r>
      <w:r w:rsidR="00DA46BD" w:rsidRPr="0043167C">
        <w:rPr>
          <w:rFonts w:ascii="Arial" w:hAnsi="Arial" w:cs="Arial"/>
          <w:sz w:val="22"/>
          <w:szCs w:val="22"/>
        </w:rPr>
        <w:t>programme</w:t>
      </w:r>
      <w:r w:rsidR="00EC535E" w:rsidRPr="0043167C">
        <w:rPr>
          <w:rFonts w:ascii="Arial" w:hAnsi="Arial" w:cs="Arial"/>
          <w:sz w:val="22"/>
          <w:szCs w:val="22"/>
        </w:rPr>
        <w:t>. The pro</w:t>
      </w:r>
      <w:r w:rsidR="001756D1">
        <w:rPr>
          <w:rFonts w:ascii="Arial" w:hAnsi="Arial" w:cs="Arial"/>
          <w:sz w:val="22"/>
          <w:szCs w:val="22"/>
        </w:rPr>
        <w:t>gramme is attached at Appendix T</w:t>
      </w:r>
      <w:r w:rsidR="00EC535E" w:rsidRPr="0043167C">
        <w:rPr>
          <w:rFonts w:ascii="Arial" w:hAnsi="Arial" w:cs="Arial"/>
          <w:sz w:val="22"/>
          <w:szCs w:val="22"/>
        </w:rPr>
        <w:t>wo of this report</w:t>
      </w:r>
    </w:p>
    <w:p w14:paraId="11478B21" w14:textId="77777777" w:rsidR="00EC535E" w:rsidRPr="00EC535E" w:rsidRDefault="00EC535E" w:rsidP="00EC535E">
      <w:pPr>
        <w:pStyle w:val="ListParagraph"/>
        <w:rPr>
          <w:rFonts w:ascii="Arial" w:hAnsi="Arial" w:cs="Arial"/>
          <w:sz w:val="22"/>
          <w:szCs w:val="22"/>
        </w:rPr>
      </w:pPr>
    </w:p>
    <w:p w14:paraId="00B11A6E" w14:textId="77777777" w:rsidR="00B50F33" w:rsidRDefault="00B23B21" w:rsidP="005C29EB">
      <w:pPr>
        <w:pStyle w:val="ListParagraph"/>
        <w:numPr>
          <w:ilvl w:val="0"/>
          <w:numId w:val="2"/>
        </w:numPr>
        <w:autoSpaceDE w:val="0"/>
        <w:autoSpaceDN w:val="0"/>
        <w:adjustRightInd w:val="0"/>
        <w:jc w:val="both"/>
        <w:rPr>
          <w:rFonts w:ascii="Arial" w:hAnsi="Arial" w:cs="Arial"/>
          <w:sz w:val="22"/>
          <w:szCs w:val="22"/>
        </w:rPr>
      </w:pPr>
      <w:r w:rsidRPr="00901F55">
        <w:rPr>
          <w:rFonts w:ascii="Arial" w:hAnsi="Arial" w:cs="Arial"/>
          <w:sz w:val="22"/>
          <w:szCs w:val="22"/>
        </w:rPr>
        <w:t xml:space="preserve">Once </w:t>
      </w:r>
      <w:r w:rsidR="0050281B">
        <w:rPr>
          <w:rFonts w:ascii="Arial" w:hAnsi="Arial" w:cs="Arial"/>
          <w:sz w:val="22"/>
          <w:szCs w:val="22"/>
        </w:rPr>
        <w:t>we have agreed the Year O</w:t>
      </w:r>
      <w:r w:rsidRPr="00901F55">
        <w:rPr>
          <w:rFonts w:ascii="Arial" w:hAnsi="Arial" w:cs="Arial"/>
          <w:sz w:val="22"/>
          <w:szCs w:val="22"/>
        </w:rPr>
        <w:t xml:space="preserve">ne programme </w:t>
      </w:r>
      <w:r w:rsidR="00DA46BD" w:rsidRPr="00901F55">
        <w:rPr>
          <w:rFonts w:ascii="Arial" w:hAnsi="Arial" w:cs="Arial"/>
          <w:sz w:val="22"/>
          <w:szCs w:val="22"/>
        </w:rPr>
        <w:t xml:space="preserve">with </w:t>
      </w:r>
      <w:r w:rsidR="00B01B05" w:rsidRPr="00901F55">
        <w:rPr>
          <w:rFonts w:ascii="Arial" w:hAnsi="Arial" w:cs="Arial"/>
          <w:sz w:val="22"/>
          <w:szCs w:val="22"/>
        </w:rPr>
        <w:t>Government</w:t>
      </w:r>
      <w:r w:rsidR="001756D1">
        <w:rPr>
          <w:rFonts w:ascii="Arial" w:hAnsi="Arial" w:cs="Arial"/>
          <w:sz w:val="22"/>
          <w:szCs w:val="22"/>
        </w:rPr>
        <w:t>,</w:t>
      </w:r>
      <w:r w:rsidR="00DA46BD" w:rsidRPr="00901F55">
        <w:rPr>
          <w:rFonts w:ascii="Arial" w:hAnsi="Arial" w:cs="Arial"/>
          <w:sz w:val="22"/>
          <w:szCs w:val="22"/>
        </w:rPr>
        <w:t xml:space="preserve"> </w:t>
      </w:r>
      <w:r w:rsidRPr="00901F55">
        <w:rPr>
          <w:rFonts w:ascii="Arial" w:hAnsi="Arial" w:cs="Arial"/>
          <w:sz w:val="22"/>
          <w:szCs w:val="22"/>
        </w:rPr>
        <w:t>officers will be working quickly to open dialogue</w:t>
      </w:r>
      <w:r w:rsidR="00DA46BD" w:rsidRPr="00901F55">
        <w:rPr>
          <w:rFonts w:ascii="Arial" w:hAnsi="Arial" w:cs="Arial"/>
          <w:sz w:val="22"/>
          <w:szCs w:val="22"/>
        </w:rPr>
        <w:t xml:space="preserve"> </w:t>
      </w:r>
      <w:r w:rsidRPr="00901F55">
        <w:rPr>
          <w:rFonts w:ascii="Arial" w:hAnsi="Arial" w:cs="Arial"/>
          <w:sz w:val="22"/>
          <w:szCs w:val="22"/>
        </w:rPr>
        <w:t>with developer</w:t>
      </w:r>
      <w:r w:rsidR="00DA46BD" w:rsidRPr="00901F55">
        <w:rPr>
          <w:rFonts w:ascii="Arial" w:hAnsi="Arial" w:cs="Arial"/>
          <w:sz w:val="22"/>
          <w:szCs w:val="22"/>
        </w:rPr>
        <w:t>s</w:t>
      </w:r>
      <w:r w:rsidRPr="00901F55">
        <w:rPr>
          <w:rFonts w:ascii="Arial" w:hAnsi="Arial" w:cs="Arial"/>
          <w:sz w:val="22"/>
          <w:szCs w:val="22"/>
        </w:rPr>
        <w:t>. Equally importantly with be early dialogue with Registered Providers since</w:t>
      </w:r>
      <w:r w:rsidR="00DA46BD" w:rsidRPr="00901F55">
        <w:rPr>
          <w:rFonts w:ascii="Arial" w:hAnsi="Arial" w:cs="Arial"/>
          <w:sz w:val="22"/>
          <w:szCs w:val="22"/>
        </w:rPr>
        <w:t xml:space="preserve"> </w:t>
      </w:r>
      <w:r w:rsidRPr="00901F55">
        <w:rPr>
          <w:rFonts w:ascii="Arial" w:hAnsi="Arial" w:cs="Arial"/>
          <w:sz w:val="22"/>
          <w:szCs w:val="22"/>
        </w:rPr>
        <w:t xml:space="preserve">they will be the main delivery partners outside of the city. </w:t>
      </w:r>
    </w:p>
    <w:p w14:paraId="254F8C3C" w14:textId="77777777" w:rsidR="00B50F33" w:rsidRPr="00B50F33" w:rsidRDefault="00B50F33" w:rsidP="00B50F33">
      <w:pPr>
        <w:pStyle w:val="ListParagraph"/>
        <w:rPr>
          <w:rFonts w:ascii="Arial" w:hAnsi="Arial" w:cs="Arial"/>
          <w:sz w:val="22"/>
          <w:szCs w:val="22"/>
        </w:rPr>
      </w:pPr>
    </w:p>
    <w:p w14:paraId="77C39BF5" w14:textId="77777777" w:rsidR="00B23B21" w:rsidRDefault="00B23B21" w:rsidP="005C29EB">
      <w:pPr>
        <w:pStyle w:val="ListParagraph"/>
        <w:numPr>
          <w:ilvl w:val="0"/>
          <w:numId w:val="2"/>
        </w:numPr>
        <w:autoSpaceDE w:val="0"/>
        <w:autoSpaceDN w:val="0"/>
        <w:adjustRightInd w:val="0"/>
        <w:jc w:val="both"/>
        <w:rPr>
          <w:rFonts w:ascii="Arial" w:hAnsi="Arial" w:cs="Arial"/>
          <w:sz w:val="22"/>
          <w:szCs w:val="22"/>
        </w:rPr>
      </w:pPr>
      <w:r w:rsidRPr="00901F55">
        <w:rPr>
          <w:rFonts w:ascii="Arial" w:hAnsi="Arial" w:cs="Arial"/>
          <w:sz w:val="22"/>
          <w:szCs w:val="22"/>
        </w:rPr>
        <w:t>Once the appropriate resources to</w:t>
      </w:r>
      <w:r w:rsidR="00DA46BD" w:rsidRPr="00901F55">
        <w:rPr>
          <w:rFonts w:ascii="Arial" w:hAnsi="Arial" w:cs="Arial"/>
          <w:sz w:val="22"/>
          <w:szCs w:val="22"/>
        </w:rPr>
        <w:t xml:space="preserve"> </w:t>
      </w:r>
      <w:r w:rsidRPr="00901F55">
        <w:rPr>
          <w:rFonts w:ascii="Arial" w:hAnsi="Arial" w:cs="Arial"/>
          <w:sz w:val="22"/>
          <w:szCs w:val="22"/>
        </w:rPr>
        <w:t xml:space="preserve">manage the programme are in place, </w:t>
      </w:r>
      <w:r w:rsidR="00BA070B">
        <w:rPr>
          <w:rFonts w:ascii="Arial" w:hAnsi="Arial" w:cs="Arial"/>
          <w:sz w:val="22"/>
          <w:szCs w:val="22"/>
        </w:rPr>
        <w:t xml:space="preserve">we will develop </w:t>
      </w:r>
      <w:r w:rsidRPr="00901F55">
        <w:rPr>
          <w:rFonts w:ascii="Arial" w:hAnsi="Arial" w:cs="Arial"/>
          <w:sz w:val="22"/>
          <w:szCs w:val="22"/>
        </w:rPr>
        <w:t>a bespoke programme management framework to monitor progress and develop the years 2 &amp; 3 programmes.</w:t>
      </w:r>
    </w:p>
    <w:p w14:paraId="2642FA42" w14:textId="77777777" w:rsidR="0050281B" w:rsidRPr="0050281B" w:rsidRDefault="0050281B" w:rsidP="0050281B">
      <w:pPr>
        <w:pStyle w:val="ListParagraph"/>
        <w:rPr>
          <w:rFonts w:ascii="Arial" w:hAnsi="Arial" w:cs="Arial"/>
          <w:sz w:val="22"/>
          <w:szCs w:val="22"/>
        </w:rPr>
      </w:pPr>
    </w:p>
    <w:p w14:paraId="51B703DC" w14:textId="77777777" w:rsidR="00B23B21" w:rsidRPr="00901F55" w:rsidRDefault="00B23B21" w:rsidP="004C4B90">
      <w:pPr>
        <w:pStyle w:val="ReportPara"/>
        <w:numPr>
          <w:ilvl w:val="0"/>
          <w:numId w:val="0"/>
        </w:numPr>
        <w:spacing w:after="0"/>
        <w:ind w:left="720"/>
        <w:jc w:val="both"/>
        <w:rPr>
          <w:rFonts w:ascii="Arial" w:hAnsi="Arial" w:cs="Arial"/>
          <w:b/>
          <w:sz w:val="22"/>
          <w:szCs w:val="22"/>
        </w:rPr>
      </w:pPr>
    </w:p>
    <w:p w14:paraId="751BFF3D" w14:textId="77777777" w:rsidR="00D66DBC" w:rsidRDefault="00B01B05" w:rsidP="00B01B05">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JOINT STATUTORY SPATIAL PLAN AND PLANNING FLEXIBILITIES</w:t>
      </w:r>
    </w:p>
    <w:p w14:paraId="4E1BABB7" w14:textId="77777777" w:rsidR="00B76E42" w:rsidRDefault="00B76E42" w:rsidP="00B01B05">
      <w:pPr>
        <w:pStyle w:val="ReportPara"/>
        <w:numPr>
          <w:ilvl w:val="0"/>
          <w:numId w:val="0"/>
        </w:numPr>
        <w:spacing w:after="0"/>
        <w:jc w:val="both"/>
        <w:rPr>
          <w:rFonts w:ascii="Arial" w:hAnsi="Arial" w:cs="Arial"/>
          <w:b/>
          <w:sz w:val="22"/>
          <w:szCs w:val="22"/>
        </w:rPr>
      </w:pPr>
    </w:p>
    <w:p w14:paraId="16975C55" w14:textId="77777777" w:rsidR="00B76E42" w:rsidRPr="00B76E42" w:rsidRDefault="00B76E42" w:rsidP="005C29EB">
      <w:pPr>
        <w:numPr>
          <w:ilvl w:val="0"/>
          <w:numId w:val="2"/>
        </w:numPr>
        <w:tabs>
          <w:tab w:val="left" w:pos="720"/>
        </w:tabs>
        <w:jc w:val="both"/>
        <w:rPr>
          <w:rFonts w:ascii="Arial" w:hAnsi="Arial" w:cs="Arial"/>
          <w:sz w:val="22"/>
          <w:szCs w:val="22"/>
        </w:rPr>
      </w:pPr>
      <w:r w:rsidRPr="00B76E42">
        <w:rPr>
          <w:rFonts w:ascii="Arial" w:hAnsi="Arial" w:cs="Arial"/>
          <w:sz w:val="22"/>
          <w:szCs w:val="22"/>
        </w:rPr>
        <w:t xml:space="preserve">The Board will be aware of the key commitment in the Deal to develop an Oxfordshire Joint Statutory Spatial Plan (JSSP). Building on the existing Local Plans, </w:t>
      </w:r>
      <w:r w:rsidR="0050281B" w:rsidRPr="00B76E42">
        <w:rPr>
          <w:rFonts w:ascii="Arial" w:hAnsi="Arial" w:cs="Arial"/>
          <w:sz w:val="22"/>
          <w:szCs w:val="22"/>
        </w:rPr>
        <w:t>OxIS,</w:t>
      </w:r>
      <w:r w:rsidRPr="00B76E42">
        <w:rPr>
          <w:rFonts w:ascii="Arial" w:hAnsi="Arial" w:cs="Arial"/>
          <w:sz w:val="22"/>
          <w:szCs w:val="22"/>
        </w:rPr>
        <w:t xml:space="preserve"> and Oxfordshire Transport Strategy, the JSSP will set the strategic direction for planning to 2050.</w:t>
      </w:r>
      <w:r w:rsidRPr="00B76E42">
        <w:rPr>
          <w:sz w:val="22"/>
          <w:szCs w:val="22"/>
        </w:rPr>
        <w:t xml:space="preserve"> </w:t>
      </w:r>
      <w:r w:rsidRPr="00B76E42">
        <w:rPr>
          <w:rFonts w:ascii="Arial" w:hAnsi="Arial" w:cs="Arial"/>
          <w:sz w:val="22"/>
          <w:szCs w:val="22"/>
        </w:rPr>
        <w:t xml:space="preserve">The Deal provides up to £2.5 million capacity funding to Oxfordshire Partners to support the development of the JSSP.  </w:t>
      </w:r>
    </w:p>
    <w:p w14:paraId="47BDDBFB" w14:textId="77777777" w:rsidR="00B76E42" w:rsidRPr="00B76E42" w:rsidRDefault="00B76E42" w:rsidP="00B76E42">
      <w:pPr>
        <w:tabs>
          <w:tab w:val="num" w:pos="1134"/>
        </w:tabs>
        <w:ind w:left="1080"/>
        <w:jc w:val="both"/>
        <w:rPr>
          <w:rFonts w:ascii="Arial" w:hAnsi="Arial" w:cs="Arial"/>
          <w:sz w:val="22"/>
          <w:szCs w:val="22"/>
        </w:rPr>
      </w:pPr>
    </w:p>
    <w:p w14:paraId="59AD0160" w14:textId="77777777" w:rsidR="00B76E42" w:rsidRPr="00B76E42" w:rsidRDefault="00B76E42" w:rsidP="005C29EB">
      <w:pPr>
        <w:numPr>
          <w:ilvl w:val="0"/>
          <w:numId w:val="2"/>
        </w:numPr>
        <w:tabs>
          <w:tab w:val="left" w:pos="720"/>
        </w:tabs>
        <w:jc w:val="both"/>
        <w:rPr>
          <w:rFonts w:ascii="Arial" w:hAnsi="Arial" w:cs="Arial"/>
          <w:sz w:val="22"/>
          <w:szCs w:val="22"/>
        </w:rPr>
      </w:pPr>
      <w:r w:rsidRPr="00B76E42">
        <w:rPr>
          <w:rFonts w:ascii="Arial" w:hAnsi="Arial" w:cs="Arial"/>
          <w:sz w:val="22"/>
          <w:szCs w:val="22"/>
        </w:rPr>
        <w:lastRenderedPageBreak/>
        <w:t>The key objectives of the JSSP are to provide a countywide strategic vision for sustainable growth, to give the public a clear overview of the countywide growth picture and greater opportunities to engage in collective decision-making, and to avoid incremental, speculative, and unplanned development.</w:t>
      </w:r>
    </w:p>
    <w:p w14:paraId="5D1AADDE" w14:textId="77777777" w:rsidR="00B76E42" w:rsidRPr="00B76E42" w:rsidRDefault="00B76E42" w:rsidP="00B76E42">
      <w:pPr>
        <w:tabs>
          <w:tab w:val="num" w:pos="1134"/>
        </w:tabs>
        <w:jc w:val="both"/>
        <w:rPr>
          <w:rFonts w:ascii="Arial" w:hAnsi="Arial" w:cs="Arial"/>
          <w:sz w:val="22"/>
          <w:szCs w:val="22"/>
        </w:rPr>
      </w:pPr>
    </w:p>
    <w:p w14:paraId="638D105D" w14:textId="77777777" w:rsidR="00B76E42" w:rsidRPr="00B76E42" w:rsidRDefault="00B76E42" w:rsidP="005C29EB">
      <w:pPr>
        <w:numPr>
          <w:ilvl w:val="0"/>
          <w:numId w:val="2"/>
        </w:numPr>
        <w:jc w:val="both"/>
        <w:rPr>
          <w:rFonts w:ascii="Arial" w:hAnsi="Arial" w:cs="Arial"/>
          <w:sz w:val="22"/>
          <w:szCs w:val="22"/>
        </w:rPr>
      </w:pPr>
      <w:r w:rsidRPr="00B76E42">
        <w:rPr>
          <w:rFonts w:ascii="Arial" w:hAnsi="Arial" w:cs="Arial"/>
          <w:sz w:val="22"/>
          <w:szCs w:val="22"/>
        </w:rPr>
        <w:t>Government have recognised the challenges Oxfordshire faces from unplanned development during the period of preparation and years following adoption, and has agreed to grant planning flexibilities on a time limited basis to provide some protection from the risk of unplanned development</w:t>
      </w:r>
      <w:r w:rsidR="0050281B" w:rsidRPr="00B76E42">
        <w:rPr>
          <w:rFonts w:ascii="Arial" w:hAnsi="Arial" w:cs="Arial"/>
          <w:sz w:val="22"/>
          <w:szCs w:val="22"/>
        </w:rPr>
        <w:t xml:space="preserve">. </w:t>
      </w:r>
      <w:r w:rsidRPr="00B76E42">
        <w:rPr>
          <w:rFonts w:ascii="Arial" w:hAnsi="Arial" w:cs="Arial"/>
          <w:sz w:val="22"/>
          <w:szCs w:val="22"/>
        </w:rPr>
        <w:t>Now that the N</w:t>
      </w:r>
      <w:r w:rsidR="0050281B">
        <w:rPr>
          <w:rFonts w:ascii="Arial" w:hAnsi="Arial" w:cs="Arial"/>
          <w:sz w:val="22"/>
          <w:szCs w:val="22"/>
        </w:rPr>
        <w:t>ational Planning Policy Framework (N</w:t>
      </w:r>
      <w:r w:rsidRPr="00B76E42">
        <w:rPr>
          <w:rFonts w:ascii="Arial" w:hAnsi="Arial" w:cs="Arial"/>
          <w:sz w:val="22"/>
          <w:szCs w:val="22"/>
        </w:rPr>
        <w:t>PPF</w:t>
      </w:r>
      <w:r w:rsidR="0050281B">
        <w:rPr>
          <w:rFonts w:ascii="Arial" w:hAnsi="Arial" w:cs="Arial"/>
          <w:sz w:val="22"/>
          <w:szCs w:val="22"/>
        </w:rPr>
        <w:t>)</w:t>
      </w:r>
      <w:r w:rsidRPr="00B76E42">
        <w:rPr>
          <w:rFonts w:ascii="Arial" w:hAnsi="Arial" w:cs="Arial"/>
          <w:sz w:val="22"/>
          <w:szCs w:val="22"/>
        </w:rPr>
        <w:t xml:space="preserve"> changes have been published</w:t>
      </w:r>
      <w:r w:rsidR="00013038">
        <w:rPr>
          <w:rFonts w:ascii="Arial" w:hAnsi="Arial" w:cs="Arial"/>
          <w:sz w:val="22"/>
          <w:szCs w:val="22"/>
        </w:rPr>
        <w:t xml:space="preserve"> for consultation</w:t>
      </w:r>
      <w:r w:rsidRPr="00B76E42">
        <w:rPr>
          <w:rFonts w:ascii="Arial" w:hAnsi="Arial" w:cs="Arial"/>
          <w:sz w:val="22"/>
          <w:szCs w:val="22"/>
        </w:rPr>
        <w:t xml:space="preserve">, </w:t>
      </w:r>
      <w:r w:rsidR="0050281B">
        <w:rPr>
          <w:rFonts w:ascii="Arial" w:hAnsi="Arial" w:cs="Arial"/>
          <w:sz w:val="22"/>
          <w:szCs w:val="22"/>
        </w:rPr>
        <w:t xml:space="preserve">the partners will </w:t>
      </w:r>
      <w:r w:rsidR="002D6880">
        <w:rPr>
          <w:rFonts w:ascii="Arial" w:hAnsi="Arial" w:cs="Arial"/>
          <w:sz w:val="22"/>
          <w:szCs w:val="22"/>
        </w:rPr>
        <w:t>take forward the work</w:t>
      </w:r>
      <w:r w:rsidR="00013038">
        <w:rPr>
          <w:rFonts w:ascii="Arial" w:hAnsi="Arial" w:cs="Arial"/>
          <w:sz w:val="22"/>
          <w:szCs w:val="22"/>
        </w:rPr>
        <w:t xml:space="preserve"> with Government</w:t>
      </w:r>
      <w:r w:rsidR="002D6880">
        <w:rPr>
          <w:rFonts w:ascii="Arial" w:hAnsi="Arial" w:cs="Arial"/>
          <w:sz w:val="22"/>
          <w:szCs w:val="22"/>
        </w:rPr>
        <w:t xml:space="preserve"> to develop the detail of the</w:t>
      </w:r>
      <w:r w:rsidRPr="00B76E42">
        <w:rPr>
          <w:rFonts w:ascii="Arial" w:hAnsi="Arial" w:cs="Arial"/>
          <w:sz w:val="22"/>
          <w:szCs w:val="22"/>
        </w:rPr>
        <w:t xml:space="preserve"> planning flexibilities </w:t>
      </w:r>
      <w:r w:rsidR="00013038">
        <w:rPr>
          <w:rFonts w:ascii="Arial" w:hAnsi="Arial" w:cs="Arial"/>
          <w:sz w:val="22"/>
          <w:szCs w:val="22"/>
        </w:rPr>
        <w:t>as agreed</w:t>
      </w:r>
      <w:r w:rsidR="0050281B">
        <w:rPr>
          <w:rFonts w:ascii="Arial" w:hAnsi="Arial" w:cs="Arial"/>
          <w:sz w:val="22"/>
          <w:szCs w:val="22"/>
        </w:rPr>
        <w:t xml:space="preserve"> in</w:t>
      </w:r>
      <w:r w:rsidR="0067213C">
        <w:rPr>
          <w:rFonts w:ascii="Arial" w:hAnsi="Arial" w:cs="Arial"/>
          <w:sz w:val="22"/>
          <w:szCs w:val="22"/>
        </w:rPr>
        <w:t xml:space="preserve"> the Deal.</w:t>
      </w:r>
      <w:r w:rsidR="00013038">
        <w:rPr>
          <w:rFonts w:ascii="Arial" w:hAnsi="Arial" w:cs="Arial"/>
          <w:sz w:val="22"/>
          <w:szCs w:val="22"/>
        </w:rPr>
        <w:t xml:space="preserve">  The Delivery Plan makes clear that the milestones for the JSSP are dependent on implementation of these flexibilities.</w:t>
      </w:r>
    </w:p>
    <w:p w14:paraId="35B99D26" w14:textId="77777777" w:rsidR="00B76E42" w:rsidRPr="00B76E42" w:rsidRDefault="00B76E42" w:rsidP="00B76E42">
      <w:pPr>
        <w:ind w:left="720"/>
        <w:rPr>
          <w:rFonts w:ascii="Arial" w:hAnsi="Arial" w:cs="Arial"/>
          <w:sz w:val="22"/>
          <w:szCs w:val="22"/>
        </w:rPr>
      </w:pPr>
    </w:p>
    <w:p w14:paraId="2CCE7AB8" w14:textId="77777777" w:rsidR="00B76E42" w:rsidRPr="00B76E42" w:rsidRDefault="00B76E42" w:rsidP="005C29EB">
      <w:pPr>
        <w:numPr>
          <w:ilvl w:val="0"/>
          <w:numId w:val="2"/>
        </w:numPr>
        <w:jc w:val="both"/>
        <w:rPr>
          <w:rFonts w:ascii="Arial" w:hAnsi="Arial" w:cs="Arial"/>
          <w:sz w:val="22"/>
          <w:szCs w:val="22"/>
        </w:rPr>
      </w:pPr>
      <w:r w:rsidRPr="00B76E42">
        <w:rPr>
          <w:rFonts w:ascii="Arial" w:hAnsi="Arial" w:cs="Arial"/>
          <w:sz w:val="22"/>
          <w:szCs w:val="22"/>
        </w:rPr>
        <w:t>The key objectives for the development of the JSSP in year one are as follows</w:t>
      </w:r>
    </w:p>
    <w:p w14:paraId="0846BC5D" w14:textId="77777777" w:rsidR="00B76E42" w:rsidRPr="00B76E42" w:rsidRDefault="00B76E42" w:rsidP="00B76E42">
      <w:pPr>
        <w:ind w:left="720"/>
        <w:rPr>
          <w:rFonts w:ascii="Arial" w:hAnsi="Arial" w:cs="Arial"/>
          <w:sz w:val="22"/>
          <w:szCs w:val="22"/>
        </w:rPr>
      </w:pPr>
    </w:p>
    <w:p w14:paraId="1CB4F542" w14:textId="77777777" w:rsidR="00B76E42" w:rsidRPr="00B76E42" w:rsidRDefault="00B76E42" w:rsidP="00B76E42">
      <w:pPr>
        <w:numPr>
          <w:ilvl w:val="0"/>
          <w:numId w:val="5"/>
        </w:numPr>
        <w:ind w:left="1134" w:firstLine="0"/>
        <w:jc w:val="both"/>
        <w:rPr>
          <w:rFonts w:ascii="Arial" w:eastAsia="Calibri" w:hAnsi="Arial" w:cs="Arial"/>
          <w:color w:val="000000" w:themeColor="text1"/>
          <w:sz w:val="22"/>
          <w:szCs w:val="22"/>
          <w:lang w:eastAsia="en-US"/>
        </w:rPr>
      </w:pPr>
      <w:r w:rsidRPr="00B76E42">
        <w:rPr>
          <w:rFonts w:ascii="Arial" w:eastAsia="Calibri" w:hAnsi="Arial" w:cs="Arial"/>
          <w:color w:val="000000" w:themeColor="text1"/>
          <w:sz w:val="22"/>
          <w:szCs w:val="22"/>
          <w:lang w:eastAsia="en-US"/>
        </w:rPr>
        <w:t xml:space="preserve">Draft Oxfordshire–wide Statement of Common Ground (SoCG) - 31 March 2018 </w:t>
      </w:r>
    </w:p>
    <w:p w14:paraId="6531A4AA" w14:textId="77777777" w:rsidR="00B76E42" w:rsidRPr="00B76E42" w:rsidRDefault="00B76E42" w:rsidP="00B76E42">
      <w:pPr>
        <w:numPr>
          <w:ilvl w:val="0"/>
          <w:numId w:val="5"/>
        </w:numPr>
        <w:ind w:left="1418" w:hanging="284"/>
        <w:jc w:val="both"/>
        <w:rPr>
          <w:rFonts w:ascii="Arial" w:eastAsia="Calibri" w:hAnsi="Arial" w:cs="Arial"/>
          <w:color w:val="000000" w:themeColor="text1"/>
          <w:sz w:val="22"/>
          <w:szCs w:val="22"/>
          <w:lang w:eastAsia="en-US"/>
        </w:rPr>
      </w:pPr>
      <w:r w:rsidRPr="00B76E42">
        <w:rPr>
          <w:rFonts w:ascii="Arial" w:eastAsia="Calibri" w:hAnsi="Arial" w:cs="Arial"/>
          <w:color w:val="000000" w:themeColor="text1"/>
          <w:sz w:val="22"/>
          <w:szCs w:val="22"/>
          <w:lang w:eastAsia="en-US"/>
        </w:rPr>
        <w:t>Joint JSSP Project Board established to take forward JSSP under Section 28 – July 2018</w:t>
      </w:r>
    </w:p>
    <w:p w14:paraId="3C86F6BC" w14:textId="77777777" w:rsidR="00B76E42" w:rsidRPr="00B76E42" w:rsidRDefault="00B76E42" w:rsidP="00B76E42">
      <w:pPr>
        <w:ind w:left="1418"/>
        <w:jc w:val="both"/>
        <w:rPr>
          <w:rFonts w:ascii="Arial" w:eastAsia="Calibri" w:hAnsi="Arial" w:cs="Arial"/>
          <w:color w:val="000000" w:themeColor="text1"/>
          <w:sz w:val="22"/>
          <w:szCs w:val="22"/>
          <w:lang w:eastAsia="en-US"/>
        </w:rPr>
      </w:pPr>
    </w:p>
    <w:p w14:paraId="20B45022" w14:textId="77777777" w:rsidR="00B76E42" w:rsidRPr="0067213C" w:rsidRDefault="00B76E42" w:rsidP="0067213C">
      <w:pPr>
        <w:pStyle w:val="ListParagraph"/>
        <w:numPr>
          <w:ilvl w:val="0"/>
          <w:numId w:val="2"/>
        </w:numPr>
        <w:tabs>
          <w:tab w:val="num" w:pos="567"/>
        </w:tabs>
        <w:ind w:left="567" w:hanging="425"/>
        <w:jc w:val="both"/>
        <w:rPr>
          <w:rFonts w:ascii="Arial" w:hAnsi="Arial" w:cs="Arial"/>
          <w:sz w:val="22"/>
          <w:szCs w:val="22"/>
        </w:rPr>
      </w:pPr>
      <w:r w:rsidRPr="0067213C">
        <w:rPr>
          <w:rFonts w:ascii="Arial" w:eastAsia="Calibri" w:hAnsi="Arial" w:cs="Arial"/>
          <w:color w:val="000000" w:themeColor="text1"/>
          <w:sz w:val="22"/>
          <w:szCs w:val="22"/>
          <w:lang w:eastAsia="en-US"/>
        </w:rPr>
        <w:t xml:space="preserve">In respect of the SoCG, a </w:t>
      </w:r>
      <w:r w:rsidR="0067213C" w:rsidRPr="0067213C">
        <w:rPr>
          <w:rFonts w:ascii="Arial" w:eastAsia="Calibri" w:hAnsi="Arial" w:cs="Arial"/>
          <w:color w:val="000000" w:themeColor="text1"/>
          <w:sz w:val="22"/>
          <w:szCs w:val="22"/>
          <w:lang w:eastAsia="en-US"/>
        </w:rPr>
        <w:t>draft taking into account the draft N</w:t>
      </w:r>
      <w:r w:rsidR="0067213C">
        <w:rPr>
          <w:rFonts w:ascii="Arial" w:eastAsia="Calibri" w:hAnsi="Arial" w:cs="Arial"/>
          <w:color w:val="000000" w:themeColor="text1"/>
          <w:sz w:val="22"/>
          <w:szCs w:val="22"/>
          <w:lang w:eastAsia="en-US"/>
        </w:rPr>
        <w:t xml:space="preserve">ational </w:t>
      </w:r>
      <w:r w:rsidR="0067213C" w:rsidRPr="0067213C">
        <w:rPr>
          <w:rFonts w:ascii="Arial" w:eastAsia="Calibri" w:hAnsi="Arial" w:cs="Arial"/>
          <w:color w:val="000000" w:themeColor="text1"/>
          <w:sz w:val="22"/>
          <w:szCs w:val="22"/>
          <w:lang w:eastAsia="en-US"/>
        </w:rPr>
        <w:t>P</w:t>
      </w:r>
      <w:r w:rsidR="0067213C">
        <w:rPr>
          <w:rFonts w:ascii="Arial" w:eastAsia="Calibri" w:hAnsi="Arial" w:cs="Arial"/>
          <w:color w:val="000000" w:themeColor="text1"/>
          <w:sz w:val="22"/>
          <w:szCs w:val="22"/>
          <w:lang w:eastAsia="en-US"/>
        </w:rPr>
        <w:t xml:space="preserve">lanning </w:t>
      </w:r>
      <w:r w:rsidR="0067213C" w:rsidRPr="0067213C">
        <w:rPr>
          <w:rFonts w:ascii="Arial" w:eastAsia="Calibri" w:hAnsi="Arial" w:cs="Arial"/>
          <w:color w:val="000000" w:themeColor="text1"/>
          <w:sz w:val="22"/>
          <w:szCs w:val="22"/>
          <w:lang w:eastAsia="en-US"/>
        </w:rPr>
        <w:t>P</w:t>
      </w:r>
      <w:r w:rsidR="0067213C">
        <w:rPr>
          <w:rFonts w:ascii="Arial" w:eastAsia="Calibri" w:hAnsi="Arial" w:cs="Arial"/>
          <w:color w:val="000000" w:themeColor="text1"/>
          <w:sz w:val="22"/>
          <w:szCs w:val="22"/>
          <w:lang w:eastAsia="en-US"/>
        </w:rPr>
        <w:t xml:space="preserve">olicy </w:t>
      </w:r>
      <w:r w:rsidR="0050281B" w:rsidRPr="0067213C">
        <w:rPr>
          <w:rFonts w:ascii="Arial" w:eastAsia="Calibri" w:hAnsi="Arial" w:cs="Arial"/>
          <w:color w:val="000000" w:themeColor="text1"/>
          <w:sz w:val="22"/>
          <w:szCs w:val="22"/>
          <w:lang w:eastAsia="en-US"/>
        </w:rPr>
        <w:t>F</w:t>
      </w:r>
      <w:r w:rsidR="0050281B">
        <w:rPr>
          <w:rFonts w:ascii="Arial" w:eastAsia="Calibri" w:hAnsi="Arial" w:cs="Arial"/>
          <w:color w:val="000000" w:themeColor="text1"/>
          <w:sz w:val="22"/>
          <w:szCs w:val="22"/>
          <w:lang w:eastAsia="en-US"/>
        </w:rPr>
        <w:t xml:space="preserve">ramework </w:t>
      </w:r>
      <w:r w:rsidR="00013038">
        <w:rPr>
          <w:rFonts w:ascii="Arial" w:eastAsia="Calibri" w:hAnsi="Arial" w:cs="Arial"/>
          <w:color w:val="000000" w:themeColor="text1"/>
          <w:sz w:val="22"/>
          <w:szCs w:val="22"/>
          <w:lang w:eastAsia="en-US"/>
        </w:rPr>
        <w:t xml:space="preserve">(NPPF) </w:t>
      </w:r>
      <w:r w:rsidR="0050281B" w:rsidRPr="0067213C">
        <w:rPr>
          <w:rFonts w:ascii="Arial" w:eastAsia="Calibri" w:hAnsi="Arial" w:cs="Arial"/>
          <w:color w:val="000000" w:themeColor="text1"/>
          <w:sz w:val="22"/>
          <w:szCs w:val="22"/>
          <w:lang w:eastAsia="en-US"/>
        </w:rPr>
        <w:t>changes</w:t>
      </w:r>
      <w:r w:rsidR="0067213C">
        <w:rPr>
          <w:rFonts w:ascii="Arial" w:eastAsia="Calibri" w:hAnsi="Arial" w:cs="Arial"/>
          <w:color w:val="000000" w:themeColor="text1"/>
          <w:sz w:val="22"/>
          <w:szCs w:val="22"/>
          <w:lang w:eastAsia="en-US"/>
        </w:rPr>
        <w:t xml:space="preserve"> and associated </w:t>
      </w:r>
      <w:r w:rsidR="0067213C" w:rsidRPr="0067213C">
        <w:rPr>
          <w:rFonts w:ascii="Arial" w:eastAsia="Calibri" w:hAnsi="Arial" w:cs="Arial"/>
          <w:color w:val="000000" w:themeColor="text1"/>
          <w:sz w:val="22"/>
          <w:szCs w:val="22"/>
          <w:lang w:eastAsia="en-US"/>
        </w:rPr>
        <w:t>guidance</w:t>
      </w:r>
      <w:r w:rsidR="0067213C">
        <w:rPr>
          <w:rFonts w:ascii="Arial" w:eastAsia="Calibri" w:hAnsi="Arial" w:cs="Arial"/>
          <w:color w:val="000000" w:themeColor="text1"/>
          <w:sz w:val="22"/>
          <w:szCs w:val="22"/>
          <w:lang w:eastAsia="en-US"/>
        </w:rPr>
        <w:t xml:space="preserve"> </w:t>
      </w:r>
      <w:r w:rsidRPr="0067213C">
        <w:rPr>
          <w:rFonts w:ascii="Arial" w:eastAsia="Calibri" w:hAnsi="Arial" w:cs="Arial"/>
          <w:color w:val="000000" w:themeColor="text1"/>
          <w:sz w:val="22"/>
          <w:szCs w:val="22"/>
          <w:lang w:eastAsia="en-US"/>
        </w:rPr>
        <w:t xml:space="preserve">is being prepared by </w:t>
      </w:r>
      <w:r w:rsidR="0050281B" w:rsidRPr="0067213C">
        <w:rPr>
          <w:rFonts w:ascii="Arial" w:eastAsia="Calibri" w:hAnsi="Arial" w:cs="Arial"/>
          <w:color w:val="000000" w:themeColor="text1"/>
          <w:sz w:val="22"/>
          <w:szCs w:val="22"/>
          <w:lang w:eastAsia="en-US"/>
        </w:rPr>
        <w:t>the deadline</w:t>
      </w:r>
      <w:r w:rsidRPr="0067213C">
        <w:rPr>
          <w:rFonts w:ascii="Arial" w:eastAsia="Calibri" w:hAnsi="Arial" w:cs="Arial"/>
          <w:color w:val="000000" w:themeColor="text1"/>
          <w:sz w:val="22"/>
          <w:szCs w:val="22"/>
          <w:lang w:eastAsia="en-US"/>
        </w:rPr>
        <w:t>.</w:t>
      </w:r>
      <w:r w:rsidR="0067213C" w:rsidRPr="0067213C">
        <w:rPr>
          <w:rFonts w:ascii="Arial" w:eastAsia="Calibri" w:hAnsi="Arial" w:cs="Arial"/>
          <w:color w:val="000000" w:themeColor="text1"/>
          <w:sz w:val="22"/>
          <w:szCs w:val="22"/>
          <w:lang w:eastAsia="en-US"/>
        </w:rPr>
        <w:t xml:space="preserve"> </w:t>
      </w:r>
      <w:r w:rsidR="00013038">
        <w:rPr>
          <w:rFonts w:ascii="Arial" w:eastAsia="Calibri" w:hAnsi="Arial" w:cs="Arial"/>
          <w:color w:val="000000" w:themeColor="text1"/>
          <w:sz w:val="22"/>
          <w:szCs w:val="22"/>
          <w:lang w:eastAsia="en-US"/>
        </w:rPr>
        <w:t xml:space="preserve">The SoCG will be finalised once the final NPPF is confirmed. </w:t>
      </w:r>
    </w:p>
    <w:p w14:paraId="4072E6EB" w14:textId="77777777" w:rsidR="00BA070B" w:rsidRDefault="00BA070B" w:rsidP="001A7302">
      <w:pPr>
        <w:pStyle w:val="ReportPara"/>
        <w:numPr>
          <w:ilvl w:val="0"/>
          <w:numId w:val="0"/>
        </w:numPr>
        <w:spacing w:after="0"/>
        <w:jc w:val="both"/>
        <w:rPr>
          <w:rFonts w:ascii="Arial" w:hAnsi="Arial" w:cs="Arial"/>
          <w:b/>
          <w:sz w:val="22"/>
          <w:szCs w:val="22"/>
        </w:rPr>
      </w:pPr>
    </w:p>
    <w:p w14:paraId="1311928D" w14:textId="77777777" w:rsidR="00D66DBC" w:rsidRPr="00901F55" w:rsidRDefault="001A7302" w:rsidP="001A7302">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 xml:space="preserve">PRODUCTIVITY </w:t>
      </w:r>
    </w:p>
    <w:p w14:paraId="242FE226" w14:textId="77777777" w:rsidR="003048F2" w:rsidRPr="00901F55" w:rsidRDefault="003048F2" w:rsidP="003048F2">
      <w:pPr>
        <w:pStyle w:val="ReportPara"/>
        <w:numPr>
          <w:ilvl w:val="0"/>
          <w:numId w:val="0"/>
        </w:numPr>
        <w:spacing w:after="0"/>
        <w:ind w:left="426"/>
        <w:jc w:val="both"/>
        <w:rPr>
          <w:rFonts w:ascii="Arial" w:hAnsi="Arial" w:cs="Arial"/>
          <w:b/>
          <w:color w:val="FF0000"/>
          <w:sz w:val="22"/>
          <w:szCs w:val="22"/>
        </w:rPr>
      </w:pPr>
    </w:p>
    <w:p w14:paraId="5C0384C0" w14:textId="77777777" w:rsidR="003C6DD5" w:rsidRPr="003C6DD5" w:rsidRDefault="003C6DD5" w:rsidP="005C29EB">
      <w:pPr>
        <w:pStyle w:val="ReportPara"/>
        <w:numPr>
          <w:ilvl w:val="0"/>
          <w:numId w:val="2"/>
        </w:numPr>
        <w:jc w:val="both"/>
        <w:rPr>
          <w:rFonts w:ascii="Arial" w:hAnsi="Arial" w:cs="Arial"/>
          <w:sz w:val="22"/>
          <w:szCs w:val="22"/>
        </w:rPr>
      </w:pPr>
      <w:r w:rsidRPr="003C6DD5">
        <w:rPr>
          <w:rFonts w:ascii="Arial" w:hAnsi="Arial" w:cs="Arial"/>
          <w:sz w:val="22"/>
          <w:szCs w:val="22"/>
        </w:rPr>
        <w:t>Productivity is an integral compon</w:t>
      </w:r>
      <w:r w:rsidR="006A4874">
        <w:rPr>
          <w:rFonts w:ascii="Arial" w:hAnsi="Arial" w:cs="Arial"/>
          <w:sz w:val="22"/>
          <w:szCs w:val="22"/>
        </w:rPr>
        <w:t>ent of the Oxfordshire</w:t>
      </w:r>
      <w:r w:rsidRPr="003C6DD5">
        <w:rPr>
          <w:rFonts w:ascii="Arial" w:hAnsi="Arial" w:cs="Arial"/>
          <w:sz w:val="22"/>
          <w:szCs w:val="22"/>
        </w:rPr>
        <w:t xml:space="preserve">. It is central to delivering the vision for accelerated growth across the County in critical economic sectors, supporting innovation </w:t>
      </w:r>
      <w:r w:rsidR="0050281B" w:rsidRPr="003C6DD5">
        <w:rPr>
          <w:rFonts w:ascii="Arial" w:hAnsi="Arial" w:cs="Arial"/>
          <w:sz w:val="22"/>
          <w:szCs w:val="22"/>
        </w:rPr>
        <w:t>clusters,</w:t>
      </w:r>
      <w:r w:rsidRPr="003C6DD5">
        <w:rPr>
          <w:rFonts w:ascii="Arial" w:hAnsi="Arial" w:cs="Arial"/>
          <w:sz w:val="22"/>
          <w:szCs w:val="22"/>
        </w:rPr>
        <w:t xml:space="preserve"> and attracting investment. </w:t>
      </w:r>
    </w:p>
    <w:p w14:paraId="0E089564" w14:textId="77777777" w:rsidR="003C6DD5" w:rsidRPr="003C6DD5" w:rsidRDefault="006A4874" w:rsidP="005C29EB">
      <w:pPr>
        <w:pStyle w:val="ReportPara"/>
        <w:numPr>
          <w:ilvl w:val="0"/>
          <w:numId w:val="2"/>
        </w:numPr>
        <w:jc w:val="both"/>
        <w:rPr>
          <w:rFonts w:ascii="Arial" w:hAnsi="Arial" w:cs="Arial"/>
          <w:sz w:val="22"/>
          <w:szCs w:val="22"/>
        </w:rPr>
      </w:pPr>
      <w:r>
        <w:rPr>
          <w:rFonts w:ascii="Arial" w:hAnsi="Arial" w:cs="Arial"/>
          <w:sz w:val="22"/>
          <w:szCs w:val="22"/>
        </w:rPr>
        <w:t xml:space="preserve">The Deal commits partners , led by OxLEP </w:t>
      </w:r>
      <w:r w:rsidR="003C6DD5" w:rsidRPr="003C6DD5">
        <w:rPr>
          <w:rFonts w:ascii="Arial" w:hAnsi="Arial" w:cs="Arial"/>
          <w:sz w:val="22"/>
          <w:szCs w:val="22"/>
        </w:rPr>
        <w:t xml:space="preserve"> to the development of a Local Industrial Strategy</w:t>
      </w:r>
      <w:r>
        <w:rPr>
          <w:rFonts w:ascii="Arial" w:hAnsi="Arial" w:cs="Arial"/>
          <w:sz w:val="22"/>
          <w:szCs w:val="22"/>
        </w:rPr>
        <w:t xml:space="preserve"> (LIS)</w:t>
      </w:r>
      <w:r w:rsidR="003C6DD5" w:rsidRPr="003C6DD5">
        <w:rPr>
          <w:rFonts w:ascii="Arial" w:hAnsi="Arial" w:cs="Arial"/>
          <w:sz w:val="22"/>
          <w:szCs w:val="22"/>
        </w:rPr>
        <w:t xml:space="preserve">, the Deal </w:t>
      </w:r>
      <w:r>
        <w:rPr>
          <w:rFonts w:ascii="Arial" w:hAnsi="Arial" w:cs="Arial"/>
          <w:sz w:val="22"/>
          <w:szCs w:val="22"/>
        </w:rPr>
        <w:t xml:space="preserve">also </w:t>
      </w:r>
      <w:r w:rsidR="003C6DD5" w:rsidRPr="003C6DD5">
        <w:rPr>
          <w:rFonts w:ascii="Arial" w:hAnsi="Arial" w:cs="Arial"/>
          <w:sz w:val="22"/>
          <w:szCs w:val="22"/>
        </w:rPr>
        <w:t xml:space="preserve">encompasses proposals to explore early land remediation at Harwell to bring forward critical employment land supply in Science Vale. There are also commitments to work with the LEP and partners to identify interventions and solutions to support our </w:t>
      </w:r>
      <w:r w:rsidR="0050281B" w:rsidRPr="003C6DD5">
        <w:rPr>
          <w:rFonts w:ascii="Arial" w:hAnsi="Arial" w:cs="Arial"/>
          <w:sz w:val="22"/>
          <w:szCs w:val="22"/>
        </w:rPr>
        <w:t>excellent</w:t>
      </w:r>
      <w:r w:rsidR="003C6DD5" w:rsidRPr="003C6DD5">
        <w:rPr>
          <w:rFonts w:ascii="Arial" w:hAnsi="Arial" w:cs="Arial"/>
          <w:sz w:val="22"/>
          <w:szCs w:val="22"/>
        </w:rPr>
        <w:t xml:space="preserve"> science clusters and businesses with scale up potential through emerging sector deals, </w:t>
      </w:r>
      <w:r>
        <w:rPr>
          <w:rFonts w:ascii="Arial" w:hAnsi="Arial" w:cs="Arial"/>
          <w:sz w:val="22"/>
          <w:szCs w:val="22"/>
        </w:rPr>
        <w:t xml:space="preserve">the </w:t>
      </w:r>
      <w:r w:rsidR="003C6DD5" w:rsidRPr="003C6DD5">
        <w:rPr>
          <w:rFonts w:ascii="Arial" w:hAnsi="Arial" w:cs="Arial"/>
          <w:sz w:val="22"/>
          <w:szCs w:val="22"/>
        </w:rPr>
        <w:t xml:space="preserve">development of a dedicated investor programme for trade and investment, an enhanced Growth </w:t>
      </w:r>
      <w:r w:rsidR="0050281B" w:rsidRPr="003C6DD5">
        <w:rPr>
          <w:rFonts w:ascii="Arial" w:hAnsi="Arial" w:cs="Arial"/>
          <w:sz w:val="22"/>
          <w:szCs w:val="22"/>
        </w:rPr>
        <w:t>Hub,</w:t>
      </w:r>
      <w:r w:rsidR="003C6DD5" w:rsidRPr="003C6DD5">
        <w:rPr>
          <w:rFonts w:ascii="Arial" w:hAnsi="Arial" w:cs="Arial"/>
          <w:sz w:val="22"/>
          <w:szCs w:val="22"/>
        </w:rPr>
        <w:t xml:space="preserve"> and developing a more responsive skills system.</w:t>
      </w:r>
    </w:p>
    <w:p w14:paraId="7A57D66C" w14:textId="77777777" w:rsidR="003C6DD5" w:rsidRPr="003C6DD5" w:rsidRDefault="003C6DD5" w:rsidP="005C29EB">
      <w:pPr>
        <w:pStyle w:val="ReportPara"/>
        <w:numPr>
          <w:ilvl w:val="0"/>
          <w:numId w:val="2"/>
        </w:numPr>
        <w:jc w:val="both"/>
        <w:rPr>
          <w:rFonts w:ascii="Arial" w:hAnsi="Arial" w:cs="Arial"/>
          <w:sz w:val="22"/>
          <w:szCs w:val="22"/>
        </w:rPr>
      </w:pPr>
      <w:r w:rsidRPr="003C6DD5">
        <w:rPr>
          <w:rFonts w:ascii="Arial" w:hAnsi="Arial" w:cs="Arial"/>
          <w:sz w:val="22"/>
          <w:szCs w:val="22"/>
        </w:rPr>
        <w:t xml:space="preserve">Where meetings have commenced with Departments there is good understanding of the opportunities </w:t>
      </w:r>
      <w:r w:rsidR="006A4874">
        <w:rPr>
          <w:rFonts w:ascii="Arial" w:hAnsi="Arial" w:cs="Arial"/>
          <w:sz w:val="22"/>
          <w:szCs w:val="22"/>
        </w:rPr>
        <w:t>that</w:t>
      </w:r>
      <w:r w:rsidRPr="003C6DD5">
        <w:rPr>
          <w:rFonts w:ascii="Arial" w:hAnsi="Arial" w:cs="Arial"/>
          <w:sz w:val="22"/>
          <w:szCs w:val="22"/>
        </w:rPr>
        <w:t xml:space="preserve"> the </w:t>
      </w:r>
      <w:r w:rsidR="006A4874">
        <w:rPr>
          <w:rFonts w:ascii="Arial" w:hAnsi="Arial" w:cs="Arial"/>
          <w:sz w:val="22"/>
          <w:szCs w:val="22"/>
        </w:rPr>
        <w:t>D</w:t>
      </w:r>
      <w:r w:rsidRPr="003C6DD5">
        <w:rPr>
          <w:rFonts w:ascii="Arial" w:hAnsi="Arial" w:cs="Arial"/>
          <w:sz w:val="22"/>
          <w:szCs w:val="22"/>
        </w:rPr>
        <w:t xml:space="preserve">eal, the Industrial Strategy trailblazer and wider Oxford Cambridge corridor creates. The ability to take forward key ambitions of the White Paper and align </w:t>
      </w:r>
      <w:r w:rsidR="006A4874">
        <w:rPr>
          <w:rFonts w:ascii="Arial" w:hAnsi="Arial" w:cs="Arial"/>
          <w:sz w:val="22"/>
          <w:szCs w:val="22"/>
        </w:rPr>
        <w:t>cross-</w:t>
      </w:r>
      <w:r w:rsidRPr="003C6DD5">
        <w:rPr>
          <w:rFonts w:ascii="Arial" w:hAnsi="Arial" w:cs="Arial"/>
          <w:sz w:val="22"/>
          <w:szCs w:val="22"/>
        </w:rPr>
        <w:t xml:space="preserve">departmental policy objectives has also helped build an increasing willingness among officials to jointly develop and design solutions. </w:t>
      </w:r>
    </w:p>
    <w:p w14:paraId="16C9D6D0" w14:textId="77777777" w:rsidR="001A7302" w:rsidRPr="00901F55" w:rsidRDefault="003C6DD5" w:rsidP="005C29EB">
      <w:pPr>
        <w:pStyle w:val="ReportPara"/>
        <w:numPr>
          <w:ilvl w:val="0"/>
          <w:numId w:val="2"/>
        </w:numPr>
        <w:spacing w:after="0"/>
        <w:jc w:val="both"/>
        <w:rPr>
          <w:rFonts w:ascii="Arial" w:hAnsi="Arial" w:cs="Arial"/>
          <w:sz w:val="22"/>
          <w:szCs w:val="22"/>
        </w:rPr>
      </w:pPr>
      <w:r w:rsidRPr="003C6DD5">
        <w:rPr>
          <w:rFonts w:ascii="Arial" w:hAnsi="Arial" w:cs="Arial"/>
          <w:sz w:val="22"/>
          <w:szCs w:val="22"/>
        </w:rPr>
        <w:t>Our ambition is for clear work</w:t>
      </w:r>
      <w:r>
        <w:rPr>
          <w:rFonts w:ascii="Arial" w:hAnsi="Arial" w:cs="Arial"/>
          <w:sz w:val="22"/>
          <w:szCs w:val="22"/>
        </w:rPr>
        <w:t xml:space="preserve"> </w:t>
      </w:r>
      <w:r w:rsidRPr="003C6DD5">
        <w:rPr>
          <w:rFonts w:ascii="Arial" w:hAnsi="Arial" w:cs="Arial"/>
          <w:sz w:val="22"/>
          <w:szCs w:val="22"/>
        </w:rPr>
        <w:t xml:space="preserve">plans and deliverables </w:t>
      </w:r>
      <w:r w:rsidR="006A4874">
        <w:rPr>
          <w:rFonts w:ascii="Arial" w:hAnsi="Arial" w:cs="Arial"/>
          <w:sz w:val="22"/>
          <w:szCs w:val="22"/>
        </w:rPr>
        <w:t xml:space="preserve">for the year one targets </w:t>
      </w:r>
      <w:r w:rsidRPr="003C6DD5">
        <w:rPr>
          <w:rFonts w:ascii="Arial" w:hAnsi="Arial" w:cs="Arial"/>
          <w:sz w:val="22"/>
          <w:szCs w:val="22"/>
        </w:rPr>
        <w:t>to be agreed with officials following initial sessions with each department, across the relevant component of the productivity stream. These will help to shape a suite of interventions, with identified investment, that would also inform the emerging LIS.</w:t>
      </w:r>
    </w:p>
    <w:p w14:paraId="58429A7D" w14:textId="77777777" w:rsidR="001A7302" w:rsidRPr="00901F55" w:rsidRDefault="001A7302" w:rsidP="00DA164F">
      <w:pPr>
        <w:pStyle w:val="ReportPara"/>
        <w:numPr>
          <w:ilvl w:val="0"/>
          <w:numId w:val="0"/>
        </w:numPr>
        <w:spacing w:after="0"/>
        <w:jc w:val="both"/>
        <w:rPr>
          <w:rFonts w:ascii="Arial" w:hAnsi="Arial" w:cs="Arial"/>
          <w:sz w:val="22"/>
          <w:szCs w:val="22"/>
        </w:rPr>
      </w:pPr>
    </w:p>
    <w:p w14:paraId="114575E8" w14:textId="77777777" w:rsidR="000379EA" w:rsidRPr="00901F55" w:rsidRDefault="001A7302" w:rsidP="004C4B90">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 xml:space="preserve">TERMS OF </w:t>
      </w:r>
      <w:r w:rsidR="00BA070B" w:rsidRPr="00901F55">
        <w:rPr>
          <w:rFonts w:ascii="Arial" w:hAnsi="Arial" w:cs="Arial"/>
          <w:b/>
          <w:sz w:val="22"/>
          <w:szCs w:val="22"/>
        </w:rPr>
        <w:t>REFERENCE AND</w:t>
      </w:r>
      <w:r w:rsidRPr="00901F55">
        <w:rPr>
          <w:rFonts w:ascii="Arial" w:hAnsi="Arial" w:cs="Arial"/>
          <w:b/>
          <w:sz w:val="22"/>
          <w:szCs w:val="22"/>
        </w:rPr>
        <w:t xml:space="preserve"> DEAL GOVERNANCE</w:t>
      </w:r>
    </w:p>
    <w:p w14:paraId="30C8EF51" w14:textId="77777777" w:rsidR="003048F2" w:rsidRPr="00901F55" w:rsidRDefault="003048F2" w:rsidP="003048F2">
      <w:pPr>
        <w:pStyle w:val="ReportPara"/>
        <w:numPr>
          <w:ilvl w:val="0"/>
          <w:numId w:val="0"/>
        </w:numPr>
        <w:spacing w:after="0"/>
        <w:ind w:left="450"/>
        <w:jc w:val="both"/>
        <w:rPr>
          <w:rFonts w:ascii="Arial" w:hAnsi="Arial" w:cs="Arial"/>
          <w:b/>
          <w:sz w:val="22"/>
          <w:szCs w:val="22"/>
        </w:rPr>
      </w:pPr>
    </w:p>
    <w:p w14:paraId="2791CC72" w14:textId="77777777" w:rsidR="000379EA" w:rsidRPr="00901F55" w:rsidRDefault="001A7302" w:rsidP="005C29EB">
      <w:pPr>
        <w:pStyle w:val="ReportPara"/>
        <w:numPr>
          <w:ilvl w:val="0"/>
          <w:numId w:val="2"/>
        </w:numPr>
        <w:spacing w:after="0"/>
        <w:jc w:val="both"/>
        <w:rPr>
          <w:rFonts w:ascii="Arial" w:eastAsiaTheme="minorHAnsi" w:hAnsi="Arial" w:cs="Arial"/>
          <w:sz w:val="22"/>
          <w:szCs w:val="22"/>
          <w:lang w:eastAsia="en-US"/>
        </w:rPr>
      </w:pPr>
      <w:r w:rsidRPr="00901F55">
        <w:rPr>
          <w:rFonts w:ascii="Arial" w:hAnsi="Arial" w:cs="Arial"/>
          <w:sz w:val="22"/>
          <w:szCs w:val="22"/>
        </w:rPr>
        <w:t>O</w:t>
      </w:r>
      <w:r w:rsidR="00CC442E" w:rsidRPr="00901F55">
        <w:rPr>
          <w:rFonts w:ascii="Arial" w:hAnsi="Arial" w:cs="Arial"/>
          <w:sz w:val="22"/>
          <w:szCs w:val="22"/>
        </w:rPr>
        <w:t xml:space="preserve">versight of the </w:t>
      </w:r>
      <w:r w:rsidR="000379EA" w:rsidRPr="00901F55">
        <w:rPr>
          <w:rFonts w:ascii="Arial" w:hAnsi="Arial" w:cs="Arial"/>
          <w:sz w:val="22"/>
          <w:szCs w:val="22"/>
        </w:rPr>
        <w:t>delivery of the D</w:t>
      </w:r>
      <w:r w:rsidR="00D66DBC" w:rsidRPr="00901F55">
        <w:rPr>
          <w:rFonts w:ascii="Arial" w:hAnsi="Arial" w:cs="Arial"/>
          <w:sz w:val="22"/>
          <w:szCs w:val="22"/>
        </w:rPr>
        <w:t xml:space="preserve">eal will </w:t>
      </w:r>
      <w:r w:rsidR="00CC442E" w:rsidRPr="00901F55">
        <w:rPr>
          <w:rFonts w:ascii="Arial" w:hAnsi="Arial" w:cs="Arial"/>
          <w:sz w:val="22"/>
          <w:szCs w:val="22"/>
        </w:rPr>
        <w:t>be by</w:t>
      </w:r>
      <w:r w:rsidR="00D66DBC" w:rsidRPr="00901F55">
        <w:rPr>
          <w:rFonts w:ascii="Arial" w:hAnsi="Arial" w:cs="Arial"/>
          <w:sz w:val="22"/>
          <w:szCs w:val="22"/>
        </w:rPr>
        <w:t xml:space="preserve"> the Growth Board</w:t>
      </w:r>
      <w:r w:rsidRPr="00901F55">
        <w:rPr>
          <w:rFonts w:ascii="Arial" w:hAnsi="Arial" w:cs="Arial"/>
          <w:sz w:val="22"/>
          <w:szCs w:val="22"/>
        </w:rPr>
        <w:t xml:space="preserve"> it </w:t>
      </w:r>
      <w:r w:rsidR="000379EA" w:rsidRPr="00901F55">
        <w:rPr>
          <w:rFonts w:ascii="Arial" w:hAnsi="Arial" w:cs="Arial"/>
          <w:color w:val="000000" w:themeColor="text1"/>
          <w:sz w:val="22"/>
          <w:szCs w:val="22"/>
        </w:rPr>
        <w:t>will</w:t>
      </w:r>
      <w:r w:rsidR="00525148" w:rsidRPr="00901F55">
        <w:rPr>
          <w:rFonts w:ascii="Arial" w:hAnsi="Arial" w:cs="Arial"/>
          <w:color w:val="000000" w:themeColor="text1"/>
          <w:sz w:val="22"/>
          <w:szCs w:val="22"/>
        </w:rPr>
        <w:t xml:space="preserve"> be responsible </w:t>
      </w:r>
      <w:r w:rsidR="00CA09F0" w:rsidRPr="00901F55">
        <w:rPr>
          <w:rFonts w:ascii="Arial" w:hAnsi="Arial" w:cs="Arial"/>
          <w:color w:val="000000" w:themeColor="text1"/>
          <w:sz w:val="22"/>
          <w:szCs w:val="22"/>
        </w:rPr>
        <w:t>for agreeing delivery</w:t>
      </w:r>
      <w:r w:rsidR="00A81CC7" w:rsidRPr="00901F55">
        <w:rPr>
          <w:rFonts w:ascii="Arial" w:hAnsi="Arial" w:cs="Arial"/>
          <w:color w:val="000000" w:themeColor="text1"/>
          <w:sz w:val="22"/>
          <w:szCs w:val="22"/>
        </w:rPr>
        <w:t xml:space="preserve"> programmes</w:t>
      </w:r>
      <w:r w:rsidR="00525148" w:rsidRPr="00901F55">
        <w:rPr>
          <w:rFonts w:ascii="Arial" w:hAnsi="Arial" w:cs="Arial"/>
          <w:color w:val="000000" w:themeColor="text1"/>
          <w:sz w:val="22"/>
          <w:szCs w:val="22"/>
        </w:rPr>
        <w:t xml:space="preserve"> fo</w:t>
      </w:r>
      <w:r w:rsidR="00212088" w:rsidRPr="00901F55">
        <w:rPr>
          <w:rFonts w:ascii="Arial" w:hAnsi="Arial" w:cs="Arial"/>
          <w:color w:val="000000" w:themeColor="text1"/>
          <w:sz w:val="22"/>
          <w:szCs w:val="22"/>
        </w:rPr>
        <w:t>r</w:t>
      </w:r>
      <w:r w:rsidR="00525148" w:rsidRPr="00901F55">
        <w:rPr>
          <w:rFonts w:ascii="Arial" w:hAnsi="Arial" w:cs="Arial"/>
          <w:color w:val="000000" w:themeColor="text1"/>
          <w:sz w:val="22"/>
          <w:szCs w:val="22"/>
        </w:rPr>
        <w:t xml:space="preserve"> each of the three Deal </w:t>
      </w:r>
      <w:r w:rsidR="00CA09F0" w:rsidRPr="00901F55">
        <w:rPr>
          <w:rFonts w:ascii="Arial" w:hAnsi="Arial" w:cs="Arial"/>
          <w:color w:val="000000" w:themeColor="text1"/>
          <w:sz w:val="22"/>
          <w:szCs w:val="22"/>
        </w:rPr>
        <w:t>strands and</w:t>
      </w:r>
      <w:r w:rsidR="000379EA" w:rsidRPr="00901F55">
        <w:rPr>
          <w:rFonts w:ascii="Arial" w:hAnsi="Arial" w:cs="Arial"/>
          <w:color w:val="000000" w:themeColor="text1"/>
          <w:sz w:val="22"/>
          <w:szCs w:val="22"/>
        </w:rPr>
        <w:t xml:space="preserve"> make all decisions on the prioritisation and allocation of the funding secured through the Deal</w:t>
      </w:r>
      <w:r w:rsidR="00CC442E" w:rsidRPr="00901F55">
        <w:rPr>
          <w:rFonts w:ascii="Arial" w:hAnsi="Arial" w:cs="Arial"/>
          <w:color w:val="000000" w:themeColor="text1"/>
          <w:sz w:val="22"/>
          <w:szCs w:val="22"/>
        </w:rPr>
        <w:t xml:space="preserve">. </w:t>
      </w:r>
      <w:r w:rsidR="00B50F33">
        <w:rPr>
          <w:rFonts w:ascii="Arial" w:hAnsi="Arial" w:cs="Arial"/>
          <w:color w:val="000000" w:themeColor="text1"/>
          <w:sz w:val="22"/>
          <w:szCs w:val="22"/>
        </w:rPr>
        <w:t>Agreement within the Deal is that p</w:t>
      </w:r>
      <w:r w:rsidR="00A81CC7" w:rsidRPr="00901F55">
        <w:rPr>
          <w:rFonts w:ascii="Arial" w:hAnsi="Arial" w:cs="Arial"/>
          <w:color w:val="000000" w:themeColor="text1"/>
          <w:sz w:val="22"/>
          <w:szCs w:val="22"/>
        </w:rPr>
        <w:t xml:space="preserve">rogress on </w:t>
      </w:r>
      <w:r w:rsidR="00A81CC7" w:rsidRPr="00901F55">
        <w:rPr>
          <w:rFonts w:ascii="Arial" w:eastAsiaTheme="minorHAnsi" w:hAnsi="Arial" w:cs="Arial"/>
          <w:sz w:val="22"/>
          <w:szCs w:val="22"/>
          <w:lang w:eastAsia="en-US"/>
        </w:rPr>
        <w:t>delivery of the work programmes will be monitored and reported to the Growth Board on a quarterly basis.</w:t>
      </w:r>
    </w:p>
    <w:p w14:paraId="1F5CF8F9" w14:textId="77777777" w:rsidR="00A91BD5" w:rsidRPr="00901F55" w:rsidRDefault="00A91BD5" w:rsidP="003048F2">
      <w:pPr>
        <w:pStyle w:val="ListParagraph"/>
        <w:keepNext/>
        <w:keepLines/>
        <w:numPr>
          <w:ilvl w:val="2"/>
          <w:numId w:val="0"/>
        </w:numPr>
        <w:ind w:left="1170" w:hanging="720"/>
        <w:contextualSpacing/>
        <w:jc w:val="both"/>
        <w:rPr>
          <w:rFonts w:ascii="Arial" w:hAnsi="Arial" w:cs="Arial"/>
          <w:color w:val="000000" w:themeColor="text1"/>
          <w:sz w:val="22"/>
          <w:szCs w:val="22"/>
        </w:rPr>
      </w:pPr>
    </w:p>
    <w:p w14:paraId="4CC82DD7" w14:textId="77777777" w:rsidR="00A73D12" w:rsidRPr="00901F55" w:rsidRDefault="001A7302" w:rsidP="005C29EB">
      <w:pPr>
        <w:pStyle w:val="Heading3"/>
        <w:keepNext/>
        <w:keepLines/>
        <w:numPr>
          <w:ilvl w:val="0"/>
          <w:numId w:val="2"/>
        </w:numPr>
        <w:spacing w:after="0"/>
        <w:jc w:val="both"/>
        <w:rPr>
          <w:rFonts w:ascii="Arial" w:hAnsi="Arial" w:cs="Arial"/>
          <w:b w:val="0"/>
          <w:color w:val="000000" w:themeColor="text1"/>
          <w:sz w:val="22"/>
          <w:szCs w:val="22"/>
        </w:rPr>
      </w:pPr>
      <w:r w:rsidRPr="00901F55">
        <w:rPr>
          <w:rFonts w:ascii="Arial" w:hAnsi="Arial" w:cs="Arial"/>
          <w:b w:val="0"/>
          <w:color w:val="000000" w:themeColor="text1"/>
          <w:sz w:val="22"/>
          <w:szCs w:val="22"/>
        </w:rPr>
        <w:t xml:space="preserve">Underneath this </w:t>
      </w:r>
      <w:r w:rsidR="00593B98" w:rsidRPr="00901F55">
        <w:rPr>
          <w:rFonts w:ascii="Arial" w:hAnsi="Arial" w:cs="Arial"/>
          <w:b w:val="0"/>
          <w:color w:val="000000" w:themeColor="text1"/>
          <w:sz w:val="22"/>
          <w:szCs w:val="22"/>
        </w:rPr>
        <w:t>an officer structure</w:t>
      </w:r>
      <w:r w:rsidR="00CC442E" w:rsidRPr="00901F55">
        <w:rPr>
          <w:rFonts w:ascii="Arial" w:hAnsi="Arial" w:cs="Arial"/>
          <w:b w:val="0"/>
          <w:color w:val="000000" w:themeColor="text1"/>
          <w:sz w:val="22"/>
          <w:szCs w:val="22"/>
        </w:rPr>
        <w:t xml:space="preserve"> </w:t>
      </w:r>
      <w:r w:rsidRPr="00901F55">
        <w:rPr>
          <w:rFonts w:ascii="Arial" w:hAnsi="Arial" w:cs="Arial"/>
          <w:b w:val="0"/>
          <w:color w:val="000000" w:themeColor="text1"/>
          <w:sz w:val="22"/>
          <w:szCs w:val="22"/>
        </w:rPr>
        <w:t xml:space="preserve">is being established </w:t>
      </w:r>
      <w:r w:rsidR="00525148" w:rsidRPr="00901F55">
        <w:rPr>
          <w:rFonts w:ascii="Arial" w:hAnsi="Arial" w:cs="Arial"/>
          <w:b w:val="0"/>
          <w:color w:val="000000" w:themeColor="text1"/>
          <w:sz w:val="22"/>
          <w:szCs w:val="22"/>
        </w:rPr>
        <w:t>to deliver the Deal</w:t>
      </w:r>
      <w:r w:rsidR="00CA09F0" w:rsidRPr="00901F55">
        <w:rPr>
          <w:rFonts w:ascii="Arial" w:hAnsi="Arial" w:cs="Arial"/>
          <w:b w:val="0"/>
          <w:color w:val="000000" w:themeColor="text1"/>
          <w:sz w:val="22"/>
          <w:szCs w:val="22"/>
        </w:rPr>
        <w:t xml:space="preserve">, </w:t>
      </w:r>
      <w:r w:rsidRPr="00901F55">
        <w:rPr>
          <w:rFonts w:ascii="Arial" w:hAnsi="Arial" w:cs="Arial"/>
          <w:b w:val="0"/>
          <w:color w:val="000000" w:themeColor="text1"/>
          <w:sz w:val="22"/>
          <w:szCs w:val="22"/>
        </w:rPr>
        <w:t xml:space="preserve">commencing with lead officers for each of the programme strands and overarching management of the deal, </w:t>
      </w:r>
      <w:r w:rsidR="00CC442E" w:rsidRPr="00901F55">
        <w:rPr>
          <w:rFonts w:ascii="Arial" w:hAnsi="Arial" w:cs="Arial"/>
          <w:b w:val="0"/>
          <w:color w:val="000000" w:themeColor="text1"/>
          <w:sz w:val="22"/>
          <w:szCs w:val="22"/>
        </w:rPr>
        <w:t xml:space="preserve">using the capacity funding provided. </w:t>
      </w:r>
      <w:r w:rsidR="00525148" w:rsidRPr="00901F55">
        <w:rPr>
          <w:rFonts w:ascii="Arial" w:hAnsi="Arial" w:cs="Arial"/>
          <w:b w:val="0"/>
          <w:color w:val="000000" w:themeColor="text1"/>
          <w:sz w:val="22"/>
          <w:szCs w:val="22"/>
        </w:rPr>
        <w:t xml:space="preserve">This structure </w:t>
      </w:r>
      <w:r w:rsidRPr="00901F55">
        <w:rPr>
          <w:rFonts w:ascii="Arial" w:hAnsi="Arial" w:cs="Arial"/>
          <w:b w:val="0"/>
          <w:color w:val="000000" w:themeColor="text1"/>
          <w:sz w:val="22"/>
          <w:szCs w:val="22"/>
        </w:rPr>
        <w:t xml:space="preserve">once established </w:t>
      </w:r>
      <w:r w:rsidR="00525148" w:rsidRPr="00901F55">
        <w:rPr>
          <w:rFonts w:ascii="Arial" w:hAnsi="Arial" w:cs="Arial"/>
          <w:b w:val="0"/>
          <w:color w:val="000000" w:themeColor="text1"/>
          <w:sz w:val="22"/>
          <w:szCs w:val="22"/>
        </w:rPr>
        <w:t>will drive the delivery of the Deal</w:t>
      </w:r>
      <w:r w:rsidR="00212088" w:rsidRPr="00901F55">
        <w:rPr>
          <w:rFonts w:ascii="Arial" w:hAnsi="Arial" w:cs="Arial"/>
          <w:b w:val="0"/>
          <w:color w:val="000000" w:themeColor="text1"/>
          <w:sz w:val="22"/>
          <w:szCs w:val="22"/>
        </w:rPr>
        <w:t>,</w:t>
      </w:r>
      <w:r w:rsidR="00525148" w:rsidRPr="00901F55">
        <w:rPr>
          <w:rFonts w:ascii="Arial" w:hAnsi="Arial" w:cs="Arial"/>
          <w:b w:val="0"/>
          <w:color w:val="000000" w:themeColor="text1"/>
          <w:sz w:val="22"/>
          <w:szCs w:val="22"/>
        </w:rPr>
        <w:t xml:space="preserve"> </w:t>
      </w:r>
      <w:r w:rsidR="000379EA" w:rsidRPr="00901F55">
        <w:rPr>
          <w:rFonts w:ascii="Arial" w:hAnsi="Arial" w:cs="Arial"/>
          <w:b w:val="0"/>
          <w:color w:val="000000" w:themeColor="text1"/>
          <w:sz w:val="22"/>
          <w:szCs w:val="22"/>
        </w:rPr>
        <w:t xml:space="preserve">report on programmes </w:t>
      </w:r>
      <w:r w:rsidR="00CC442E" w:rsidRPr="00901F55">
        <w:rPr>
          <w:rFonts w:ascii="Arial" w:hAnsi="Arial" w:cs="Arial"/>
          <w:b w:val="0"/>
          <w:color w:val="000000" w:themeColor="text1"/>
          <w:sz w:val="22"/>
          <w:szCs w:val="22"/>
        </w:rPr>
        <w:t>progress,</w:t>
      </w:r>
      <w:r w:rsidR="00CA09F0" w:rsidRPr="00901F55">
        <w:rPr>
          <w:rFonts w:ascii="Arial" w:hAnsi="Arial" w:cs="Arial"/>
          <w:b w:val="0"/>
          <w:color w:val="000000" w:themeColor="text1"/>
          <w:sz w:val="22"/>
          <w:szCs w:val="22"/>
        </w:rPr>
        <w:t xml:space="preserve"> and make recommendations to the Growth Board on funding decisions.</w:t>
      </w:r>
    </w:p>
    <w:p w14:paraId="36937297" w14:textId="77777777" w:rsidR="00A73D12" w:rsidRPr="00901F55" w:rsidRDefault="00A73D12" w:rsidP="00CA09F0">
      <w:pPr>
        <w:pStyle w:val="Heading3"/>
        <w:keepNext/>
        <w:keepLines/>
        <w:spacing w:after="0"/>
        <w:ind w:left="426"/>
        <w:jc w:val="both"/>
        <w:rPr>
          <w:rFonts w:ascii="Arial" w:hAnsi="Arial" w:cs="Arial"/>
          <w:b w:val="0"/>
          <w:color w:val="000000" w:themeColor="text1"/>
          <w:sz w:val="22"/>
          <w:szCs w:val="22"/>
        </w:rPr>
      </w:pPr>
    </w:p>
    <w:p w14:paraId="519FCA65" w14:textId="77777777" w:rsidR="00B936EA" w:rsidRPr="00B936EA" w:rsidRDefault="001A7302" w:rsidP="005C29EB">
      <w:pPr>
        <w:pStyle w:val="ReportPara"/>
        <w:numPr>
          <w:ilvl w:val="0"/>
          <w:numId w:val="2"/>
        </w:numPr>
        <w:spacing w:after="0"/>
        <w:jc w:val="both"/>
        <w:rPr>
          <w:rFonts w:ascii="Arial" w:hAnsi="Arial" w:cs="Arial"/>
          <w:sz w:val="22"/>
          <w:szCs w:val="22"/>
        </w:rPr>
      </w:pPr>
      <w:r w:rsidRPr="00901F55">
        <w:rPr>
          <w:rFonts w:ascii="Arial" w:hAnsi="Arial" w:cs="Arial"/>
          <w:color w:val="000000" w:themeColor="text1"/>
          <w:sz w:val="22"/>
          <w:szCs w:val="22"/>
        </w:rPr>
        <w:t xml:space="preserve"> I</w:t>
      </w:r>
      <w:r w:rsidR="00CA09F0" w:rsidRPr="00901F55">
        <w:rPr>
          <w:rFonts w:ascii="Arial" w:hAnsi="Arial" w:cs="Arial"/>
          <w:color w:val="000000" w:themeColor="text1"/>
          <w:sz w:val="22"/>
          <w:szCs w:val="22"/>
        </w:rPr>
        <w:t xml:space="preserve">n order to be able to </w:t>
      </w:r>
      <w:r w:rsidR="00A73D12" w:rsidRPr="00901F55">
        <w:rPr>
          <w:rFonts w:ascii="Arial" w:hAnsi="Arial" w:cs="Arial"/>
          <w:color w:val="000000" w:themeColor="text1"/>
          <w:sz w:val="22"/>
          <w:szCs w:val="22"/>
        </w:rPr>
        <w:t>discharge its function of oversight of the Deal, the</w:t>
      </w:r>
      <w:r w:rsidR="000379EA" w:rsidRPr="00901F55">
        <w:rPr>
          <w:rFonts w:ascii="Arial" w:hAnsi="Arial" w:cs="Arial"/>
          <w:color w:val="000000" w:themeColor="text1"/>
          <w:sz w:val="22"/>
          <w:szCs w:val="22"/>
        </w:rPr>
        <w:t xml:space="preserve"> </w:t>
      </w:r>
      <w:r w:rsidR="008E60CD" w:rsidRPr="00901F55">
        <w:rPr>
          <w:rFonts w:ascii="Arial" w:hAnsi="Arial" w:cs="Arial"/>
          <w:color w:val="000000" w:themeColor="text1"/>
          <w:sz w:val="22"/>
          <w:szCs w:val="22"/>
        </w:rPr>
        <w:t xml:space="preserve">Growth </w:t>
      </w:r>
      <w:r w:rsidR="00CC442E" w:rsidRPr="00901F55">
        <w:rPr>
          <w:rFonts w:ascii="Arial" w:hAnsi="Arial" w:cs="Arial"/>
          <w:color w:val="000000" w:themeColor="text1"/>
          <w:sz w:val="22"/>
          <w:szCs w:val="22"/>
        </w:rPr>
        <w:t xml:space="preserve">Board will be </w:t>
      </w:r>
      <w:r w:rsidR="00B967CE" w:rsidRPr="00901F55">
        <w:rPr>
          <w:rFonts w:ascii="Arial" w:hAnsi="Arial" w:cs="Arial"/>
          <w:color w:val="000000" w:themeColor="text1"/>
          <w:sz w:val="22"/>
          <w:szCs w:val="22"/>
        </w:rPr>
        <w:t>required to</w:t>
      </w:r>
      <w:r w:rsidR="005F764F" w:rsidRPr="00901F55">
        <w:rPr>
          <w:rFonts w:ascii="Arial" w:hAnsi="Arial" w:cs="Arial"/>
          <w:color w:val="000000" w:themeColor="text1"/>
          <w:sz w:val="22"/>
          <w:szCs w:val="22"/>
        </w:rPr>
        <w:t xml:space="preserve"> review its Terms of R</w:t>
      </w:r>
      <w:r w:rsidR="000379EA" w:rsidRPr="00901F55">
        <w:rPr>
          <w:rFonts w:ascii="Arial" w:hAnsi="Arial" w:cs="Arial"/>
          <w:color w:val="000000" w:themeColor="text1"/>
          <w:sz w:val="22"/>
          <w:szCs w:val="22"/>
        </w:rPr>
        <w:t>eference</w:t>
      </w:r>
      <w:r w:rsidR="005F764F" w:rsidRPr="00901F55">
        <w:rPr>
          <w:rFonts w:ascii="Arial" w:hAnsi="Arial" w:cs="Arial"/>
          <w:color w:val="000000" w:themeColor="text1"/>
          <w:sz w:val="22"/>
          <w:szCs w:val="22"/>
        </w:rPr>
        <w:t xml:space="preserve"> (ToR)</w:t>
      </w:r>
      <w:r w:rsidR="000379EA" w:rsidRPr="00901F55">
        <w:rPr>
          <w:rFonts w:ascii="Arial" w:hAnsi="Arial" w:cs="Arial"/>
          <w:color w:val="000000" w:themeColor="text1"/>
          <w:sz w:val="22"/>
          <w:szCs w:val="22"/>
        </w:rPr>
        <w:t xml:space="preserve"> </w:t>
      </w:r>
      <w:r w:rsidR="003D32FA" w:rsidRPr="00901F55">
        <w:rPr>
          <w:rFonts w:ascii="Arial" w:hAnsi="Arial" w:cs="Arial"/>
          <w:color w:val="000000" w:themeColor="text1"/>
          <w:sz w:val="22"/>
          <w:szCs w:val="22"/>
        </w:rPr>
        <w:t>to ensure they</w:t>
      </w:r>
      <w:r w:rsidR="00A81CC7" w:rsidRPr="00901F55">
        <w:rPr>
          <w:rFonts w:ascii="Arial" w:hAnsi="Arial" w:cs="Arial"/>
          <w:color w:val="000000" w:themeColor="text1"/>
          <w:sz w:val="22"/>
          <w:szCs w:val="22"/>
        </w:rPr>
        <w:t xml:space="preserve"> reflect</w:t>
      </w:r>
      <w:r w:rsidR="009A4A5F" w:rsidRPr="00901F55">
        <w:rPr>
          <w:rFonts w:ascii="Arial" w:hAnsi="Arial" w:cs="Arial"/>
          <w:color w:val="000000" w:themeColor="text1"/>
          <w:sz w:val="22"/>
          <w:szCs w:val="22"/>
        </w:rPr>
        <w:t xml:space="preserve"> </w:t>
      </w:r>
      <w:r w:rsidR="008E60CD" w:rsidRPr="00901F55">
        <w:rPr>
          <w:rFonts w:ascii="Arial" w:hAnsi="Arial" w:cs="Arial"/>
          <w:color w:val="000000" w:themeColor="text1"/>
          <w:sz w:val="22"/>
          <w:szCs w:val="22"/>
        </w:rPr>
        <w:t xml:space="preserve">its </w:t>
      </w:r>
      <w:r w:rsidR="009A4A5F" w:rsidRPr="00901F55">
        <w:rPr>
          <w:rFonts w:ascii="Arial" w:hAnsi="Arial" w:cs="Arial"/>
          <w:color w:val="000000" w:themeColor="text1"/>
          <w:sz w:val="22"/>
          <w:szCs w:val="22"/>
        </w:rPr>
        <w:t xml:space="preserve">new </w:t>
      </w:r>
      <w:r w:rsidR="00A81CC7" w:rsidRPr="00901F55">
        <w:rPr>
          <w:rFonts w:ascii="Arial" w:hAnsi="Arial" w:cs="Arial"/>
          <w:color w:val="000000" w:themeColor="text1"/>
          <w:sz w:val="22"/>
          <w:szCs w:val="22"/>
        </w:rPr>
        <w:t>responsibilities</w:t>
      </w:r>
      <w:r w:rsidR="00A73D12" w:rsidRPr="00901F55">
        <w:rPr>
          <w:rFonts w:ascii="Arial" w:hAnsi="Arial" w:cs="Arial"/>
          <w:color w:val="000000" w:themeColor="text1"/>
          <w:sz w:val="22"/>
          <w:szCs w:val="22"/>
        </w:rPr>
        <w:t>.</w:t>
      </w:r>
      <w:r w:rsidR="00A81CC7" w:rsidRPr="00901F55">
        <w:rPr>
          <w:rFonts w:ascii="Arial" w:hAnsi="Arial" w:cs="Arial"/>
          <w:color w:val="000000" w:themeColor="text1"/>
          <w:sz w:val="22"/>
          <w:szCs w:val="22"/>
        </w:rPr>
        <w:t xml:space="preserve"> Th</w:t>
      </w:r>
      <w:r w:rsidR="00A73D12" w:rsidRPr="00901F55">
        <w:rPr>
          <w:rFonts w:ascii="Arial" w:hAnsi="Arial" w:cs="Arial"/>
          <w:color w:val="000000" w:themeColor="text1"/>
          <w:sz w:val="22"/>
          <w:szCs w:val="22"/>
        </w:rPr>
        <w:t xml:space="preserve">e Deal commits this to </w:t>
      </w:r>
      <w:r w:rsidR="009A4A5F" w:rsidRPr="00901F55">
        <w:rPr>
          <w:rFonts w:ascii="Arial" w:hAnsi="Arial" w:cs="Arial"/>
          <w:color w:val="000000" w:themeColor="text1"/>
          <w:sz w:val="22"/>
          <w:szCs w:val="22"/>
        </w:rPr>
        <w:t>be completed by April 2018.</w:t>
      </w:r>
      <w:r w:rsidRPr="00901F55">
        <w:rPr>
          <w:rFonts w:ascii="Arial" w:hAnsi="Arial" w:cs="Arial"/>
          <w:color w:val="000000" w:themeColor="text1"/>
          <w:sz w:val="22"/>
          <w:szCs w:val="22"/>
        </w:rPr>
        <w:t xml:space="preserve"> </w:t>
      </w:r>
      <w:r w:rsidR="00BA070B" w:rsidRPr="00901F55">
        <w:rPr>
          <w:rFonts w:ascii="Arial" w:hAnsi="Arial" w:cs="Arial"/>
          <w:color w:val="000000" w:themeColor="text1"/>
          <w:sz w:val="22"/>
          <w:szCs w:val="22"/>
        </w:rPr>
        <w:t>Accordingly,</w:t>
      </w:r>
      <w:r w:rsidRPr="00901F55">
        <w:rPr>
          <w:rFonts w:ascii="Arial" w:hAnsi="Arial" w:cs="Arial"/>
          <w:color w:val="000000" w:themeColor="text1"/>
          <w:sz w:val="22"/>
          <w:szCs w:val="22"/>
        </w:rPr>
        <w:t xml:space="preserve"> it is </w:t>
      </w:r>
      <w:r w:rsidR="00B50F33" w:rsidRPr="00901F55">
        <w:rPr>
          <w:rFonts w:ascii="Arial" w:hAnsi="Arial" w:cs="Arial"/>
          <w:color w:val="000000" w:themeColor="text1"/>
          <w:sz w:val="22"/>
          <w:szCs w:val="22"/>
        </w:rPr>
        <w:t>proposed</w:t>
      </w:r>
      <w:r w:rsidRPr="00901F55">
        <w:rPr>
          <w:rFonts w:ascii="Arial" w:hAnsi="Arial" w:cs="Arial"/>
          <w:color w:val="000000" w:themeColor="text1"/>
          <w:sz w:val="22"/>
          <w:szCs w:val="22"/>
        </w:rPr>
        <w:t xml:space="preserve"> that these revised ToR are brought to the April 26</w:t>
      </w:r>
      <w:r w:rsidRPr="00901F55">
        <w:rPr>
          <w:rFonts w:ascii="Arial" w:hAnsi="Arial" w:cs="Arial"/>
          <w:color w:val="000000" w:themeColor="text1"/>
          <w:sz w:val="22"/>
          <w:szCs w:val="22"/>
          <w:vertAlign w:val="superscript"/>
        </w:rPr>
        <w:t>th</w:t>
      </w:r>
      <w:r w:rsidRPr="00901F55">
        <w:rPr>
          <w:rFonts w:ascii="Arial" w:hAnsi="Arial" w:cs="Arial"/>
          <w:color w:val="000000" w:themeColor="text1"/>
          <w:sz w:val="22"/>
          <w:szCs w:val="22"/>
        </w:rPr>
        <w:t xml:space="preserve"> meeting of the Board.</w:t>
      </w:r>
    </w:p>
    <w:p w14:paraId="7A245FBA" w14:textId="77777777" w:rsidR="00B936EA" w:rsidRDefault="00B936EA" w:rsidP="00B936EA">
      <w:pPr>
        <w:pStyle w:val="ListParagraph"/>
        <w:rPr>
          <w:rFonts w:ascii="Arial" w:hAnsi="Arial" w:cs="Arial"/>
          <w:color w:val="000000" w:themeColor="text1"/>
          <w:sz w:val="22"/>
          <w:szCs w:val="22"/>
        </w:rPr>
      </w:pPr>
    </w:p>
    <w:p w14:paraId="60795702" w14:textId="77777777" w:rsidR="000379EA" w:rsidRPr="00901F55" w:rsidRDefault="009A4A5F" w:rsidP="005C29EB">
      <w:pPr>
        <w:pStyle w:val="ReportPara"/>
        <w:numPr>
          <w:ilvl w:val="0"/>
          <w:numId w:val="2"/>
        </w:numPr>
        <w:spacing w:after="0"/>
        <w:jc w:val="both"/>
        <w:rPr>
          <w:rFonts w:ascii="Arial" w:hAnsi="Arial" w:cs="Arial"/>
          <w:sz w:val="22"/>
          <w:szCs w:val="22"/>
        </w:rPr>
      </w:pPr>
      <w:r w:rsidRPr="00901F55">
        <w:rPr>
          <w:rFonts w:ascii="Arial" w:hAnsi="Arial" w:cs="Arial"/>
          <w:color w:val="000000" w:themeColor="text1"/>
          <w:sz w:val="22"/>
          <w:szCs w:val="22"/>
        </w:rPr>
        <w:t xml:space="preserve"> </w:t>
      </w:r>
      <w:r w:rsidR="00B936EA" w:rsidRPr="00B936EA">
        <w:rPr>
          <w:rFonts w:ascii="Arial" w:hAnsi="Arial" w:cs="Arial"/>
          <w:color w:val="000000" w:themeColor="text1"/>
          <w:sz w:val="22"/>
          <w:szCs w:val="22"/>
        </w:rPr>
        <w:t>Alongside the ToR there will be a MoU between the Growth Board and the accountable body. This sets out the roles and responsibilities of both party including dispute resolution, financial management and audit arrangements. It also sets out the services provided by the accountable body. In addition, funding agreements will be put in place between the accountable body and the Growth Board member once funding allocations are agreed which will cover financial and compliance requirements including clawback arrangements for misuse/misappropriation of funding</w:t>
      </w:r>
    </w:p>
    <w:p w14:paraId="2A0BCC0F" w14:textId="77777777" w:rsidR="009A4A5F" w:rsidRPr="00901F55" w:rsidRDefault="009A4A5F" w:rsidP="003048F2">
      <w:pPr>
        <w:pStyle w:val="ListParagraph"/>
        <w:rPr>
          <w:rFonts w:ascii="Arial" w:hAnsi="Arial" w:cs="Arial"/>
          <w:sz w:val="22"/>
          <w:szCs w:val="22"/>
        </w:rPr>
      </w:pPr>
    </w:p>
    <w:bookmarkEnd w:id="1"/>
    <w:p w14:paraId="21A0173F" w14:textId="77777777" w:rsidR="00EC535E" w:rsidRDefault="00EC535E" w:rsidP="004C4B90">
      <w:pPr>
        <w:pStyle w:val="ReportPara"/>
        <w:numPr>
          <w:ilvl w:val="0"/>
          <w:numId w:val="0"/>
        </w:numPr>
        <w:spacing w:after="0"/>
        <w:jc w:val="both"/>
        <w:rPr>
          <w:rFonts w:ascii="Arial" w:hAnsi="Arial" w:cs="Arial"/>
          <w:b/>
          <w:sz w:val="22"/>
          <w:szCs w:val="22"/>
        </w:rPr>
      </w:pPr>
      <w:r>
        <w:rPr>
          <w:rFonts w:ascii="Arial" w:hAnsi="Arial" w:cs="Arial"/>
          <w:b/>
          <w:sz w:val="22"/>
          <w:szCs w:val="22"/>
        </w:rPr>
        <w:t xml:space="preserve">CAPACITY FUNDING </w:t>
      </w:r>
    </w:p>
    <w:p w14:paraId="15A87D6B" w14:textId="77777777" w:rsidR="00EC535E" w:rsidRDefault="00EC535E" w:rsidP="004C4B90">
      <w:pPr>
        <w:pStyle w:val="ReportPara"/>
        <w:numPr>
          <w:ilvl w:val="0"/>
          <w:numId w:val="0"/>
        </w:numPr>
        <w:spacing w:after="0"/>
        <w:jc w:val="both"/>
        <w:rPr>
          <w:rFonts w:ascii="Arial" w:hAnsi="Arial" w:cs="Arial"/>
          <w:b/>
          <w:sz w:val="22"/>
          <w:szCs w:val="22"/>
        </w:rPr>
      </w:pPr>
    </w:p>
    <w:p w14:paraId="7BE027D1" w14:textId="77777777" w:rsidR="00FA32F3" w:rsidRDefault="006B6D54" w:rsidP="005C29EB">
      <w:pPr>
        <w:pStyle w:val="ReportPara"/>
        <w:numPr>
          <w:ilvl w:val="0"/>
          <w:numId w:val="2"/>
        </w:numPr>
        <w:spacing w:after="0"/>
        <w:jc w:val="both"/>
        <w:rPr>
          <w:rFonts w:ascii="Arial" w:hAnsi="Arial" w:cs="Arial"/>
          <w:sz w:val="22"/>
          <w:szCs w:val="22"/>
        </w:rPr>
      </w:pPr>
      <w:r>
        <w:rPr>
          <w:rFonts w:ascii="Arial" w:hAnsi="Arial" w:cs="Arial"/>
          <w:b/>
          <w:sz w:val="22"/>
          <w:szCs w:val="22"/>
        </w:rPr>
        <w:t xml:space="preserve"> </w:t>
      </w:r>
      <w:r w:rsidRPr="006B6D54">
        <w:rPr>
          <w:rFonts w:ascii="Arial" w:hAnsi="Arial" w:cs="Arial"/>
          <w:sz w:val="22"/>
          <w:szCs w:val="22"/>
        </w:rPr>
        <w:t xml:space="preserve">The Board will be aware that as part of the Deal Oxfordshire received £5 million of </w:t>
      </w:r>
      <w:r w:rsidR="00B7098F">
        <w:rPr>
          <w:rFonts w:ascii="Arial" w:hAnsi="Arial" w:cs="Arial"/>
          <w:sz w:val="22"/>
          <w:szCs w:val="22"/>
        </w:rPr>
        <w:t xml:space="preserve">funding </w:t>
      </w:r>
      <w:r w:rsidRPr="006B6D54">
        <w:rPr>
          <w:rFonts w:ascii="Arial" w:hAnsi="Arial" w:cs="Arial"/>
          <w:sz w:val="22"/>
          <w:szCs w:val="22"/>
        </w:rPr>
        <w:t xml:space="preserve">to assist us with the delivery of the </w:t>
      </w:r>
      <w:r>
        <w:rPr>
          <w:rFonts w:ascii="Arial" w:hAnsi="Arial" w:cs="Arial"/>
          <w:sz w:val="22"/>
          <w:szCs w:val="22"/>
        </w:rPr>
        <w:t>D</w:t>
      </w:r>
      <w:r w:rsidRPr="006B6D54">
        <w:rPr>
          <w:rFonts w:ascii="Arial" w:hAnsi="Arial" w:cs="Arial"/>
          <w:sz w:val="22"/>
          <w:szCs w:val="22"/>
        </w:rPr>
        <w:t>eal</w:t>
      </w:r>
      <w:r>
        <w:rPr>
          <w:rFonts w:ascii="Arial" w:hAnsi="Arial" w:cs="Arial"/>
          <w:sz w:val="22"/>
          <w:szCs w:val="22"/>
        </w:rPr>
        <w:t>.</w:t>
      </w:r>
      <w:r w:rsidR="00EE586B">
        <w:rPr>
          <w:rFonts w:ascii="Arial" w:hAnsi="Arial" w:cs="Arial"/>
          <w:sz w:val="22"/>
          <w:szCs w:val="22"/>
        </w:rPr>
        <w:t xml:space="preserve"> The </w:t>
      </w:r>
      <w:r w:rsidR="00B7098F">
        <w:rPr>
          <w:rFonts w:ascii="Arial" w:hAnsi="Arial" w:cs="Arial"/>
          <w:sz w:val="22"/>
          <w:szCs w:val="22"/>
        </w:rPr>
        <w:t xml:space="preserve">allocation of the fund </w:t>
      </w:r>
      <w:r w:rsidR="0050281B">
        <w:rPr>
          <w:rFonts w:ascii="Arial" w:hAnsi="Arial" w:cs="Arial"/>
          <w:sz w:val="22"/>
          <w:szCs w:val="22"/>
        </w:rPr>
        <w:t>is £</w:t>
      </w:r>
      <w:r w:rsidR="00FA32F3">
        <w:rPr>
          <w:rFonts w:ascii="Arial" w:hAnsi="Arial" w:cs="Arial"/>
          <w:sz w:val="22"/>
          <w:szCs w:val="22"/>
        </w:rPr>
        <w:t>2.5 million to prepare the Oxfordshire JSSP</w:t>
      </w:r>
      <w:r w:rsidR="00B7098F">
        <w:rPr>
          <w:rFonts w:ascii="Arial" w:hAnsi="Arial" w:cs="Arial"/>
          <w:sz w:val="22"/>
          <w:szCs w:val="22"/>
        </w:rPr>
        <w:t>, £1.5 million of capacity funding to progress the Deal and £1 million to support scheme feasibility</w:t>
      </w:r>
      <w:r w:rsidR="00FA32F3">
        <w:rPr>
          <w:rFonts w:ascii="Arial" w:hAnsi="Arial" w:cs="Arial"/>
          <w:sz w:val="22"/>
          <w:szCs w:val="22"/>
        </w:rPr>
        <w:t xml:space="preserve"> to ensure that the step change in housing delivery that the deal requires is properly resourced. The yearly </w:t>
      </w:r>
      <w:r w:rsidR="00EE586B">
        <w:rPr>
          <w:rFonts w:ascii="Arial" w:hAnsi="Arial" w:cs="Arial"/>
          <w:sz w:val="22"/>
          <w:szCs w:val="22"/>
        </w:rPr>
        <w:t>indicative split of funding is as follows.</w:t>
      </w:r>
    </w:p>
    <w:p w14:paraId="616474BC" w14:textId="77777777" w:rsidR="00FA32F3" w:rsidRDefault="00FA32F3" w:rsidP="00FA32F3">
      <w:pPr>
        <w:pStyle w:val="ReportPara"/>
        <w:numPr>
          <w:ilvl w:val="0"/>
          <w:numId w:val="0"/>
        </w:numPr>
        <w:spacing w:after="0"/>
        <w:ind w:left="502"/>
        <w:jc w:val="both"/>
        <w:rPr>
          <w:rFonts w:ascii="Arial" w:hAnsi="Arial" w:cs="Arial"/>
          <w:sz w:val="22"/>
          <w:szCs w:val="22"/>
        </w:rPr>
      </w:pPr>
    </w:p>
    <w:p w14:paraId="65DF3B38" w14:textId="77777777" w:rsidR="00EC535E" w:rsidRPr="006B6D54" w:rsidRDefault="00EE586B" w:rsidP="00FA32F3">
      <w:pPr>
        <w:pStyle w:val="ReportPara"/>
        <w:numPr>
          <w:ilvl w:val="0"/>
          <w:numId w:val="0"/>
        </w:numPr>
        <w:spacing w:after="0"/>
        <w:ind w:left="1142" w:hanging="432"/>
        <w:jc w:val="both"/>
        <w:rPr>
          <w:rFonts w:ascii="Arial" w:hAnsi="Arial" w:cs="Arial"/>
          <w:sz w:val="22"/>
          <w:szCs w:val="22"/>
        </w:rPr>
      </w:pPr>
      <w:r>
        <w:rPr>
          <w:rFonts w:ascii="Arial" w:hAnsi="Arial" w:cs="Arial"/>
          <w:sz w:val="22"/>
          <w:szCs w:val="22"/>
        </w:rPr>
        <w:t xml:space="preserve"> </w:t>
      </w:r>
    </w:p>
    <w:tbl>
      <w:tblPr>
        <w:tblStyle w:val="TableGrid"/>
        <w:tblW w:w="0" w:type="auto"/>
        <w:tblInd w:w="2802" w:type="dxa"/>
        <w:tblLook w:val="04A0" w:firstRow="1" w:lastRow="0" w:firstColumn="1" w:lastColumn="0" w:noHBand="0" w:noVBand="1"/>
      </w:tblPr>
      <w:tblGrid>
        <w:gridCol w:w="2274"/>
        <w:gridCol w:w="2687"/>
      </w:tblGrid>
      <w:tr w:rsidR="00FA32F3" w14:paraId="7B44D483" w14:textId="77777777" w:rsidTr="00FA32F3">
        <w:tc>
          <w:tcPr>
            <w:tcW w:w="2274" w:type="dxa"/>
            <w:shd w:val="clear" w:color="auto" w:fill="BFBFBF" w:themeFill="background1" w:themeFillShade="BF"/>
          </w:tcPr>
          <w:p w14:paraId="3FEFB4E7" w14:textId="77777777" w:rsidR="00FA32F3" w:rsidRDefault="00FA32F3" w:rsidP="00FA32F3">
            <w:pPr>
              <w:pStyle w:val="ReportPara"/>
              <w:numPr>
                <w:ilvl w:val="0"/>
                <w:numId w:val="0"/>
              </w:numPr>
              <w:spacing w:after="0"/>
              <w:jc w:val="center"/>
              <w:rPr>
                <w:rFonts w:ascii="Arial" w:hAnsi="Arial" w:cs="Arial"/>
                <w:b/>
                <w:sz w:val="22"/>
                <w:szCs w:val="22"/>
              </w:rPr>
            </w:pPr>
            <w:r>
              <w:rPr>
                <w:rFonts w:ascii="Arial" w:hAnsi="Arial" w:cs="Arial"/>
                <w:b/>
                <w:sz w:val="22"/>
                <w:szCs w:val="22"/>
              </w:rPr>
              <w:t>Amount (£)</w:t>
            </w:r>
          </w:p>
        </w:tc>
        <w:tc>
          <w:tcPr>
            <w:tcW w:w="2687" w:type="dxa"/>
            <w:shd w:val="clear" w:color="auto" w:fill="BFBFBF" w:themeFill="background1" w:themeFillShade="BF"/>
          </w:tcPr>
          <w:p w14:paraId="69FBC86C" w14:textId="77777777" w:rsidR="00FA32F3" w:rsidRDefault="00FA32F3" w:rsidP="00FA32F3">
            <w:pPr>
              <w:pStyle w:val="ReportPara"/>
              <w:numPr>
                <w:ilvl w:val="0"/>
                <w:numId w:val="0"/>
              </w:numPr>
              <w:spacing w:after="0"/>
              <w:jc w:val="center"/>
              <w:rPr>
                <w:rFonts w:ascii="Arial" w:hAnsi="Arial" w:cs="Arial"/>
                <w:b/>
                <w:sz w:val="22"/>
                <w:szCs w:val="22"/>
              </w:rPr>
            </w:pPr>
            <w:r>
              <w:rPr>
                <w:rFonts w:ascii="Arial" w:hAnsi="Arial" w:cs="Arial"/>
                <w:b/>
                <w:sz w:val="22"/>
                <w:szCs w:val="22"/>
              </w:rPr>
              <w:t>Date</w:t>
            </w:r>
          </w:p>
        </w:tc>
      </w:tr>
      <w:tr w:rsidR="00FA32F3" w14:paraId="578798C0" w14:textId="77777777" w:rsidTr="00FA32F3">
        <w:tc>
          <w:tcPr>
            <w:tcW w:w="2274" w:type="dxa"/>
          </w:tcPr>
          <w:p w14:paraId="1A999A68" w14:textId="77777777" w:rsidR="00FA32F3" w:rsidRDefault="00FA32F3" w:rsidP="00FA32F3">
            <w:pPr>
              <w:pStyle w:val="ReportPara"/>
              <w:numPr>
                <w:ilvl w:val="0"/>
                <w:numId w:val="0"/>
              </w:numPr>
              <w:spacing w:after="0"/>
              <w:jc w:val="center"/>
              <w:rPr>
                <w:rFonts w:ascii="Arial" w:hAnsi="Arial" w:cs="Arial"/>
                <w:b/>
                <w:sz w:val="22"/>
                <w:szCs w:val="22"/>
              </w:rPr>
            </w:pPr>
            <w:r w:rsidRPr="004932A8">
              <w:rPr>
                <w:rFonts w:ascii="Arial" w:hAnsi="Arial" w:cs="Arial"/>
                <w:sz w:val="22"/>
                <w:szCs w:val="22"/>
              </w:rPr>
              <w:t xml:space="preserve">£0.5m </w:t>
            </w:r>
          </w:p>
        </w:tc>
        <w:tc>
          <w:tcPr>
            <w:tcW w:w="2687" w:type="dxa"/>
          </w:tcPr>
          <w:p w14:paraId="11C54227" w14:textId="77777777" w:rsidR="00FA32F3" w:rsidRPr="00FA32F3" w:rsidRDefault="00FA32F3" w:rsidP="00FA32F3">
            <w:pPr>
              <w:pStyle w:val="ReportPara"/>
              <w:numPr>
                <w:ilvl w:val="0"/>
                <w:numId w:val="0"/>
              </w:numPr>
              <w:spacing w:after="0"/>
              <w:jc w:val="both"/>
              <w:rPr>
                <w:rFonts w:ascii="Arial" w:hAnsi="Arial" w:cs="Arial"/>
                <w:sz w:val="22"/>
                <w:szCs w:val="22"/>
              </w:rPr>
            </w:pPr>
            <w:r w:rsidRPr="00FA32F3">
              <w:rPr>
                <w:rFonts w:ascii="Arial" w:hAnsi="Arial" w:cs="Arial"/>
                <w:sz w:val="22"/>
                <w:szCs w:val="22"/>
              </w:rPr>
              <w:t>Upon</w:t>
            </w:r>
            <w:r>
              <w:rPr>
                <w:rFonts w:ascii="Arial" w:hAnsi="Arial" w:cs="Arial"/>
                <w:sz w:val="22"/>
                <w:szCs w:val="22"/>
              </w:rPr>
              <w:t xml:space="preserve"> </w:t>
            </w:r>
            <w:r w:rsidRPr="00FA32F3">
              <w:rPr>
                <w:rFonts w:ascii="Arial" w:hAnsi="Arial" w:cs="Arial"/>
                <w:sz w:val="22"/>
                <w:szCs w:val="22"/>
              </w:rPr>
              <w:t>Deal’s agreement</w:t>
            </w:r>
          </w:p>
        </w:tc>
      </w:tr>
      <w:tr w:rsidR="00FA32F3" w14:paraId="183EA388" w14:textId="77777777" w:rsidTr="00FA32F3">
        <w:tc>
          <w:tcPr>
            <w:tcW w:w="2274" w:type="dxa"/>
          </w:tcPr>
          <w:p w14:paraId="07FBDBA4" w14:textId="77777777" w:rsidR="00FA32F3" w:rsidRDefault="00FA32F3" w:rsidP="00FA32F3">
            <w:pPr>
              <w:pStyle w:val="ReportPara"/>
              <w:numPr>
                <w:ilvl w:val="0"/>
                <w:numId w:val="0"/>
              </w:numPr>
              <w:spacing w:after="0"/>
              <w:jc w:val="center"/>
              <w:rPr>
                <w:rFonts w:ascii="Arial" w:hAnsi="Arial" w:cs="Arial"/>
                <w:b/>
                <w:sz w:val="22"/>
                <w:szCs w:val="22"/>
              </w:rPr>
            </w:pPr>
            <w:r w:rsidRPr="004932A8">
              <w:rPr>
                <w:rFonts w:ascii="Arial" w:hAnsi="Arial" w:cs="Arial"/>
                <w:sz w:val="22"/>
                <w:szCs w:val="22"/>
              </w:rPr>
              <w:t>£1.8</w:t>
            </w:r>
          </w:p>
        </w:tc>
        <w:tc>
          <w:tcPr>
            <w:tcW w:w="2687" w:type="dxa"/>
          </w:tcPr>
          <w:p w14:paraId="6425C68B" w14:textId="77777777" w:rsidR="00FA32F3" w:rsidRPr="00FA32F3" w:rsidRDefault="00FA32F3" w:rsidP="004C4B90">
            <w:pPr>
              <w:pStyle w:val="ReportPara"/>
              <w:numPr>
                <w:ilvl w:val="0"/>
                <w:numId w:val="0"/>
              </w:numPr>
              <w:spacing w:after="0"/>
              <w:jc w:val="both"/>
              <w:rPr>
                <w:rFonts w:ascii="Arial" w:hAnsi="Arial" w:cs="Arial"/>
                <w:sz w:val="22"/>
                <w:szCs w:val="22"/>
              </w:rPr>
            </w:pPr>
            <w:r w:rsidRPr="00FA32F3">
              <w:rPr>
                <w:rFonts w:ascii="Arial" w:hAnsi="Arial" w:cs="Arial"/>
                <w:sz w:val="22"/>
                <w:szCs w:val="22"/>
              </w:rPr>
              <w:t>paid on 1 April 2018,</w:t>
            </w:r>
          </w:p>
        </w:tc>
      </w:tr>
      <w:tr w:rsidR="00FA32F3" w14:paraId="59098CBF" w14:textId="77777777" w:rsidTr="00FA32F3">
        <w:tc>
          <w:tcPr>
            <w:tcW w:w="2274" w:type="dxa"/>
          </w:tcPr>
          <w:p w14:paraId="36145480" w14:textId="77777777" w:rsidR="00FA32F3" w:rsidRDefault="00FA32F3" w:rsidP="00FA32F3">
            <w:pPr>
              <w:pStyle w:val="ReportPara"/>
              <w:numPr>
                <w:ilvl w:val="0"/>
                <w:numId w:val="0"/>
              </w:numPr>
              <w:spacing w:after="0"/>
              <w:jc w:val="center"/>
              <w:rPr>
                <w:rFonts w:ascii="Arial" w:hAnsi="Arial" w:cs="Arial"/>
                <w:b/>
                <w:sz w:val="22"/>
                <w:szCs w:val="22"/>
              </w:rPr>
            </w:pPr>
            <w:r w:rsidRPr="004932A8">
              <w:rPr>
                <w:rFonts w:ascii="Arial" w:hAnsi="Arial" w:cs="Arial"/>
                <w:sz w:val="22"/>
                <w:szCs w:val="22"/>
              </w:rPr>
              <w:t>£1.4</w:t>
            </w:r>
          </w:p>
        </w:tc>
        <w:tc>
          <w:tcPr>
            <w:tcW w:w="2687" w:type="dxa"/>
          </w:tcPr>
          <w:p w14:paraId="44FA7FE7" w14:textId="77777777" w:rsidR="00FA32F3" w:rsidRPr="00FA32F3" w:rsidRDefault="00FA32F3" w:rsidP="004C4B90">
            <w:pPr>
              <w:pStyle w:val="ReportPara"/>
              <w:numPr>
                <w:ilvl w:val="0"/>
                <w:numId w:val="0"/>
              </w:numPr>
              <w:spacing w:after="0"/>
              <w:jc w:val="both"/>
              <w:rPr>
                <w:rFonts w:ascii="Arial" w:hAnsi="Arial" w:cs="Arial"/>
                <w:sz w:val="22"/>
                <w:szCs w:val="22"/>
              </w:rPr>
            </w:pPr>
            <w:r w:rsidRPr="00FA32F3">
              <w:rPr>
                <w:rFonts w:ascii="Arial" w:hAnsi="Arial" w:cs="Arial"/>
                <w:sz w:val="22"/>
                <w:szCs w:val="22"/>
              </w:rPr>
              <w:t>on 1 April 2019</w:t>
            </w:r>
          </w:p>
        </w:tc>
      </w:tr>
      <w:tr w:rsidR="00FA32F3" w14:paraId="516C3B79" w14:textId="77777777" w:rsidTr="00FA32F3">
        <w:tc>
          <w:tcPr>
            <w:tcW w:w="2274" w:type="dxa"/>
          </w:tcPr>
          <w:p w14:paraId="5E694E55" w14:textId="77777777" w:rsidR="00FA32F3" w:rsidRDefault="00FA32F3" w:rsidP="00FA32F3">
            <w:pPr>
              <w:pStyle w:val="ReportPara"/>
              <w:numPr>
                <w:ilvl w:val="0"/>
                <w:numId w:val="0"/>
              </w:numPr>
              <w:spacing w:after="0"/>
              <w:jc w:val="center"/>
              <w:rPr>
                <w:rFonts w:ascii="Arial" w:hAnsi="Arial" w:cs="Arial"/>
                <w:b/>
                <w:sz w:val="22"/>
                <w:szCs w:val="22"/>
              </w:rPr>
            </w:pPr>
            <w:r w:rsidRPr="004932A8">
              <w:rPr>
                <w:rFonts w:ascii="Arial" w:hAnsi="Arial" w:cs="Arial"/>
                <w:sz w:val="22"/>
                <w:szCs w:val="22"/>
              </w:rPr>
              <w:t>£1.3m</w:t>
            </w:r>
          </w:p>
        </w:tc>
        <w:tc>
          <w:tcPr>
            <w:tcW w:w="2687" w:type="dxa"/>
          </w:tcPr>
          <w:p w14:paraId="08EEEFA5" w14:textId="77777777" w:rsidR="00FA32F3" w:rsidRPr="00FA32F3" w:rsidRDefault="00FA32F3" w:rsidP="004C4B90">
            <w:pPr>
              <w:pStyle w:val="ReportPara"/>
              <w:numPr>
                <w:ilvl w:val="0"/>
                <w:numId w:val="0"/>
              </w:numPr>
              <w:spacing w:after="0"/>
              <w:jc w:val="both"/>
              <w:rPr>
                <w:rFonts w:ascii="Arial" w:hAnsi="Arial" w:cs="Arial"/>
                <w:sz w:val="22"/>
                <w:szCs w:val="22"/>
              </w:rPr>
            </w:pPr>
            <w:r w:rsidRPr="00FA32F3">
              <w:rPr>
                <w:rFonts w:ascii="Arial" w:hAnsi="Arial" w:cs="Arial"/>
                <w:sz w:val="22"/>
                <w:szCs w:val="22"/>
              </w:rPr>
              <w:t>on 1 April 2020</w:t>
            </w:r>
          </w:p>
        </w:tc>
      </w:tr>
    </w:tbl>
    <w:p w14:paraId="40326314" w14:textId="77777777" w:rsidR="00EC535E" w:rsidRDefault="00EC535E" w:rsidP="004C4B90">
      <w:pPr>
        <w:pStyle w:val="ReportPara"/>
        <w:numPr>
          <w:ilvl w:val="0"/>
          <w:numId w:val="0"/>
        </w:numPr>
        <w:spacing w:after="0"/>
        <w:jc w:val="both"/>
        <w:rPr>
          <w:rFonts w:ascii="Arial" w:hAnsi="Arial" w:cs="Arial"/>
          <w:b/>
          <w:sz w:val="22"/>
          <w:szCs w:val="22"/>
        </w:rPr>
      </w:pPr>
    </w:p>
    <w:p w14:paraId="680FD31A" w14:textId="77777777" w:rsidR="00FA32F3" w:rsidRPr="00FA32F3" w:rsidRDefault="00FA32F3" w:rsidP="005C29EB">
      <w:pPr>
        <w:pStyle w:val="ReportPara"/>
        <w:numPr>
          <w:ilvl w:val="0"/>
          <w:numId w:val="2"/>
        </w:numPr>
        <w:spacing w:after="0"/>
        <w:jc w:val="both"/>
        <w:rPr>
          <w:rFonts w:ascii="Arial" w:hAnsi="Arial" w:cs="Arial"/>
          <w:sz w:val="22"/>
          <w:szCs w:val="22"/>
        </w:rPr>
      </w:pPr>
      <w:r w:rsidRPr="00FA32F3">
        <w:rPr>
          <w:rFonts w:ascii="Arial" w:hAnsi="Arial" w:cs="Arial"/>
          <w:sz w:val="22"/>
          <w:szCs w:val="22"/>
        </w:rPr>
        <w:t xml:space="preserve">Officers are </w:t>
      </w:r>
      <w:r w:rsidR="00B7098F">
        <w:rPr>
          <w:rFonts w:ascii="Arial" w:hAnsi="Arial" w:cs="Arial"/>
          <w:sz w:val="22"/>
          <w:szCs w:val="22"/>
        </w:rPr>
        <w:t xml:space="preserve">undertaking financial modelling of options for the capacity fund to ensure it is deployed in the most effective manner to support the delivery of the Deal commitments. As a first </w:t>
      </w:r>
      <w:r w:rsidR="0050281B">
        <w:rPr>
          <w:rFonts w:ascii="Arial" w:hAnsi="Arial" w:cs="Arial"/>
          <w:sz w:val="22"/>
          <w:szCs w:val="22"/>
        </w:rPr>
        <w:t>step,</w:t>
      </w:r>
      <w:r w:rsidR="00B7098F">
        <w:rPr>
          <w:rFonts w:ascii="Arial" w:hAnsi="Arial" w:cs="Arial"/>
          <w:sz w:val="22"/>
          <w:szCs w:val="22"/>
        </w:rPr>
        <w:t xml:space="preserve"> interim programme </w:t>
      </w:r>
      <w:r w:rsidR="00614899">
        <w:rPr>
          <w:rFonts w:ascii="Arial" w:hAnsi="Arial" w:cs="Arial"/>
          <w:sz w:val="22"/>
          <w:szCs w:val="22"/>
        </w:rPr>
        <w:t>leads are</w:t>
      </w:r>
      <w:r w:rsidR="00B7098F">
        <w:rPr>
          <w:rFonts w:ascii="Arial" w:hAnsi="Arial" w:cs="Arial"/>
          <w:sz w:val="22"/>
          <w:szCs w:val="22"/>
        </w:rPr>
        <w:t xml:space="preserve"> being recruited to enable the </w:t>
      </w:r>
      <w:r w:rsidR="00614899">
        <w:rPr>
          <w:rFonts w:ascii="Arial" w:hAnsi="Arial" w:cs="Arial"/>
          <w:sz w:val="22"/>
          <w:szCs w:val="22"/>
        </w:rPr>
        <w:t>delivery of the Deal to accelerate to the next level</w:t>
      </w:r>
      <w:r w:rsidRPr="00FA32F3">
        <w:rPr>
          <w:rFonts w:ascii="Arial" w:hAnsi="Arial" w:cs="Arial"/>
          <w:sz w:val="22"/>
          <w:szCs w:val="22"/>
        </w:rPr>
        <w:t>.</w:t>
      </w:r>
    </w:p>
    <w:p w14:paraId="4222684F" w14:textId="77777777" w:rsidR="00FA32F3" w:rsidRDefault="00FA32F3" w:rsidP="00FA32F3">
      <w:pPr>
        <w:pStyle w:val="ReportPara"/>
        <w:numPr>
          <w:ilvl w:val="0"/>
          <w:numId w:val="0"/>
        </w:numPr>
        <w:spacing w:after="0"/>
        <w:ind w:left="502"/>
        <w:jc w:val="both"/>
        <w:rPr>
          <w:rFonts w:ascii="Arial" w:hAnsi="Arial" w:cs="Arial"/>
          <w:b/>
          <w:sz w:val="22"/>
          <w:szCs w:val="22"/>
        </w:rPr>
      </w:pPr>
    </w:p>
    <w:p w14:paraId="3D086CB3" w14:textId="77777777" w:rsidR="008B279A" w:rsidRPr="00901F55" w:rsidRDefault="00BB6BA2" w:rsidP="004C4B90">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CONCLUSION</w:t>
      </w:r>
    </w:p>
    <w:p w14:paraId="073EEC3E" w14:textId="77777777" w:rsidR="00BB6BA2" w:rsidRPr="00901F55" w:rsidRDefault="00BB6BA2" w:rsidP="003048F2">
      <w:pPr>
        <w:pStyle w:val="ReportPara"/>
        <w:numPr>
          <w:ilvl w:val="0"/>
          <w:numId w:val="0"/>
        </w:numPr>
        <w:spacing w:after="0"/>
        <w:ind w:left="360"/>
        <w:jc w:val="both"/>
        <w:rPr>
          <w:rFonts w:ascii="Arial" w:hAnsi="Arial" w:cs="Arial"/>
          <w:b/>
          <w:sz w:val="22"/>
          <w:szCs w:val="22"/>
        </w:rPr>
      </w:pPr>
    </w:p>
    <w:p w14:paraId="13F9B881" w14:textId="77777777" w:rsidR="00F1280E" w:rsidRDefault="00CA4ECE" w:rsidP="00F1280E">
      <w:pPr>
        <w:pStyle w:val="ReportPara"/>
        <w:numPr>
          <w:ilvl w:val="0"/>
          <w:numId w:val="2"/>
        </w:numPr>
        <w:spacing w:after="0"/>
        <w:jc w:val="both"/>
        <w:rPr>
          <w:rFonts w:ascii="Arial" w:hAnsi="Arial" w:cs="Arial"/>
          <w:sz w:val="22"/>
          <w:szCs w:val="22"/>
        </w:rPr>
      </w:pPr>
      <w:r w:rsidRPr="00901F55">
        <w:rPr>
          <w:rFonts w:ascii="Arial" w:hAnsi="Arial" w:cs="Arial"/>
          <w:sz w:val="22"/>
          <w:szCs w:val="22"/>
        </w:rPr>
        <w:t xml:space="preserve">This report </w:t>
      </w:r>
      <w:r w:rsidR="006C7F5C" w:rsidRPr="00901F55">
        <w:rPr>
          <w:rFonts w:ascii="Arial" w:hAnsi="Arial" w:cs="Arial"/>
          <w:sz w:val="22"/>
          <w:szCs w:val="22"/>
        </w:rPr>
        <w:t xml:space="preserve">is the </w:t>
      </w:r>
      <w:r w:rsidR="00B50F33" w:rsidRPr="00901F55">
        <w:rPr>
          <w:rFonts w:ascii="Arial" w:hAnsi="Arial" w:cs="Arial"/>
          <w:sz w:val="22"/>
          <w:szCs w:val="22"/>
        </w:rPr>
        <w:t>first on</w:t>
      </w:r>
      <w:r w:rsidR="006C7F5C" w:rsidRPr="00901F55">
        <w:rPr>
          <w:rFonts w:ascii="Arial" w:hAnsi="Arial" w:cs="Arial"/>
          <w:sz w:val="22"/>
          <w:szCs w:val="22"/>
        </w:rPr>
        <w:t xml:space="preserve"> the Deal’s progress to come before the Board, reflecting its position as the body charged with oversight of the Deal’s delivery. </w:t>
      </w:r>
      <w:r w:rsidR="00F1280E">
        <w:rPr>
          <w:rFonts w:ascii="Arial" w:hAnsi="Arial" w:cs="Arial"/>
          <w:sz w:val="22"/>
          <w:szCs w:val="22"/>
        </w:rPr>
        <w:t xml:space="preserve">It demonstrates that the Oxfordshire partners have made significant progress in delivering against the year one milestones of the Deal, for example, detailed year one delivery plans for infrastructure and affordable housing agreed with HE, </w:t>
      </w:r>
      <w:r w:rsidR="0050281B">
        <w:rPr>
          <w:rFonts w:ascii="Arial" w:hAnsi="Arial" w:cs="Arial"/>
          <w:sz w:val="22"/>
          <w:szCs w:val="22"/>
        </w:rPr>
        <w:t xml:space="preserve">a </w:t>
      </w:r>
      <w:r w:rsidR="0050281B" w:rsidRPr="00F1280E">
        <w:rPr>
          <w:rFonts w:ascii="Arial" w:hAnsi="Arial" w:cs="Arial"/>
          <w:sz w:val="22"/>
          <w:szCs w:val="22"/>
        </w:rPr>
        <w:t>draft</w:t>
      </w:r>
      <w:r w:rsidR="00F1280E" w:rsidRPr="00F1280E">
        <w:rPr>
          <w:rFonts w:ascii="Arial" w:hAnsi="Arial" w:cs="Arial"/>
          <w:sz w:val="22"/>
          <w:szCs w:val="22"/>
        </w:rPr>
        <w:t xml:space="preserve"> SoCG</w:t>
      </w:r>
      <w:r w:rsidR="00F1280E">
        <w:rPr>
          <w:rFonts w:ascii="Arial" w:hAnsi="Arial" w:cs="Arial"/>
          <w:sz w:val="22"/>
          <w:szCs w:val="22"/>
        </w:rPr>
        <w:t xml:space="preserve"> and progress with reviewing the ToR for the Board.</w:t>
      </w:r>
    </w:p>
    <w:p w14:paraId="6E27E642" w14:textId="77777777" w:rsidR="00F1280E" w:rsidRDefault="00F1280E" w:rsidP="00F1280E">
      <w:pPr>
        <w:pStyle w:val="ReportPara"/>
        <w:numPr>
          <w:ilvl w:val="0"/>
          <w:numId w:val="0"/>
        </w:numPr>
        <w:spacing w:after="0"/>
        <w:ind w:left="502"/>
        <w:jc w:val="both"/>
        <w:rPr>
          <w:rFonts w:ascii="Arial" w:hAnsi="Arial" w:cs="Arial"/>
          <w:sz w:val="22"/>
          <w:szCs w:val="22"/>
        </w:rPr>
      </w:pPr>
    </w:p>
    <w:p w14:paraId="0BB95110" w14:textId="77777777" w:rsidR="00F1280E" w:rsidRDefault="00F1280E" w:rsidP="00F1280E">
      <w:pPr>
        <w:pStyle w:val="ReportPara"/>
        <w:numPr>
          <w:ilvl w:val="0"/>
          <w:numId w:val="2"/>
        </w:numPr>
        <w:spacing w:after="0"/>
        <w:jc w:val="both"/>
        <w:rPr>
          <w:rFonts w:ascii="Arial" w:hAnsi="Arial" w:cs="Arial"/>
          <w:sz w:val="22"/>
          <w:szCs w:val="22"/>
        </w:rPr>
      </w:pPr>
      <w:r>
        <w:rPr>
          <w:rFonts w:ascii="Arial" w:hAnsi="Arial" w:cs="Arial"/>
          <w:sz w:val="22"/>
          <w:szCs w:val="22"/>
        </w:rPr>
        <w:t xml:space="preserve">The Board </w:t>
      </w:r>
      <w:r w:rsidR="00013038">
        <w:rPr>
          <w:rFonts w:ascii="Arial" w:hAnsi="Arial" w:cs="Arial"/>
          <w:sz w:val="22"/>
          <w:szCs w:val="22"/>
        </w:rPr>
        <w:t xml:space="preserve">is </w:t>
      </w:r>
      <w:r>
        <w:rPr>
          <w:rFonts w:ascii="Arial" w:hAnsi="Arial" w:cs="Arial"/>
          <w:sz w:val="22"/>
          <w:szCs w:val="22"/>
        </w:rPr>
        <w:t xml:space="preserve">asked to note this progress and </w:t>
      </w:r>
      <w:r w:rsidR="007C2868">
        <w:rPr>
          <w:rFonts w:ascii="Arial" w:hAnsi="Arial" w:cs="Arial"/>
          <w:sz w:val="22"/>
          <w:szCs w:val="22"/>
        </w:rPr>
        <w:t xml:space="preserve">endorse </w:t>
      </w:r>
      <w:r>
        <w:rPr>
          <w:rFonts w:ascii="Arial" w:hAnsi="Arial" w:cs="Arial"/>
          <w:sz w:val="22"/>
          <w:szCs w:val="22"/>
        </w:rPr>
        <w:t xml:space="preserve">the year one programmes for infrastructure and affordable housing </w:t>
      </w:r>
      <w:r w:rsidR="007C2868">
        <w:rPr>
          <w:rFonts w:ascii="Arial" w:hAnsi="Arial" w:cs="Arial"/>
          <w:sz w:val="22"/>
          <w:szCs w:val="22"/>
        </w:rPr>
        <w:t>as agreed by the partners with Homes England</w:t>
      </w:r>
      <w:r>
        <w:rPr>
          <w:rFonts w:ascii="Arial" w:hAnsi="Arial" w:cs="Arial"/>
          <w:sz w:val="22"/>
          <w:szCs w:val="22"/>
        </w:rPr>
        <w:t>.</w:t>
      </w:r>
    </w:p>
    <w:p w14:paraId="5F67999E" w14:textId="77777777" w:rsidR="00F1280E" w:rsidRDefault="00F1280E" w:rsidP="00F1280E">
      <w:pPr>
        <w:pStyle w:val="ReportPara"/>
        <w:numPr>
          <w:ilvl w:val="0"/>
          <w:numId w:val="0"/>
        </w:numPr>
        <w:spacing w:after="0"/>
        <w:ind w:left="502"/>
        <w:jc w:val="both"/>
        <w:rPr>
          <w:rFonts w:ascii="Arial" w:hAnsi="Arial" w:cs="Arial"/>
          <w:sz w:val="22"/>
          <w:szCs w:val="22"/>
        </w:rPr>
      </w:pPr>
    </w:p>
    <w:p w14:paraId="247D3531" w14:textId="77777777" w:rsidR="001C53F6" w:rsidRDefault="001C53F6">
      <w:pPr>
        <w:rPr>
          <w:rFonts w:ascii="Arial" w:hAnsi="Arial" w:cs="Arial"/>
          <w:sz w:val="22"/>
          <w:szCs w:val="22"/>
        </w:rPr>
      </w:pPr>
      <w:r>
        <w:rPr>
          <w:rFonts w:ascii="Arial" w:hAnsi="Arial" w:cs="Arial"/>
          <w:sz w:val="22"/>
          <w:szCs w:val="22"/>
        </w:rPr>
        <w:br w:type="page"/>
      </w:r>
    </w:p>
    <w:p w14:paraId="5DED8CC6" w14:textId="77777777" w:rsidR="003A1C88" w:rsidRDefault="003A1C88" w:rsidP="000923A1">
      <w:pPr>
        <w:pStyle w:val="ReportPara"/>
        <w:numPr>
          <w:ilvl w:val="0"/>
          <w:numId w:val="0"/>
        </w:numPr>
        <w:spacing w:after="0"/>
        <w:ind w:left="502"/>
        <w:jc w:val="both"/>
        <w:rPr>
          <w:rFonts w:ascii="Arial" w:hAnsi="Arial" w:cs="Arial"/>
          <w:b/>
          <w:sz w:val="22"/>
          <w:szCs w:val="22"/>
        </w:rPr>
      </w:pPr>
    </w:p>
    <w:p w14:paraId="726E56C4" w14:textId="77777777" w:rsidR="000923A1" w:rsidRDefault="001C53F6" w:rsidP="003A1C88">
      <w:pPr>
        <w:pStyle w:val="ReportPara"/>
        <w:numPr>
          <w:ilvl w:val="0"/>
          <w:numId w:val="0"/>
        </w:numPr>
        <w:spacing w:after="0"/>
        <w:ind w:left="-709"/>
        <w:jc w:val="both"/>
        <w:rPr>
          <w:rFonts w:ascii="Arial" w:hAnsi="Arial" w:cs="Arial"/>
          <w:b/>
          <w:sz w:val="22"/>
          <w:szCs w:val="22"/>
        </w:rPr>
      </w:pPr>
      <w:r w:rsidRPr="000923A1">
        <w:rPr>
          <w:rFonts w:ascii="Arial" w:hAnsi="Arial" w:cs="Arial"/>
          <w:b/>
          <w:sz w:val="22"/>
          <w:szCs w:val="22"/>
        </w:rPr>
        <w:t>APPENDIX ONE</w:t>
      </w:r>
      <w:r w:rsidR="000923A1" w:rsidRPr="000923A1">
        <w:rPr>
          <w:rFonts w:ascii="Arial" w:hAnsi="Arial" w:cs="Arial"/>
          <w:b/>
          <w:sz w:val="22"/>
          <w:szCs w:val="22"/>
        </w:rPr>
        <w:t>: PROPOSED YEAR ONE OXFORDSHIRE HOUSING AND GROWTH INFRASTRUCTURE PROGRAMME TO BE AGREED WITH GOVERNMENT</w:t>
      </w:r>
    </w:p>
    <w:p w14:paraId="0E037F5D" w14:textId="77777777" w:rsidR="000923A1" w:rsidRDefault="000923A1" w:rsidP="000923A1">
      <w:pPr>
        <w:pStyle w:val="ReportPara"/>
        <w:numPr>
          <w:ilvl w:val="0"/>
          <w:numId w:val="0"/>
        </w:numPr>
        <w:spacing w:after="0"/>
        <w:ind w:left="502"/>
        <w:jc w:val="both"/>
        <w:rPr>
          <w:rFonts w:ascii="Arial" w:hAnsi="Arial" w:cs="Arial"/>
          <w:b/>
          <w:sz w:val="22"/>
          <w:szCs w:val="22"/>
        </w:rPr>
      </w:pPr>
    </w:p>
    <w:tbl>
      <w:tblPr>
        <w:tblW w:w="11340" w:type="dxa"/>
        <w:jc w:val="center"/>
        <w:tblLook w:val="04A0" w:firstRow="1" w:lastRow="0" w:firstColumn="1" w:lastColumn="0" w:noHBand="0" w:noVBand="1"/>
      </w:tblPr>
      <w:tblGrid>
        <w:gridCol w:w="2829"/>
        <w:gridCol w:w="3118"/>
        <w:gridCol w:w="1965"/>
        <w:gridCol w:w="1714"/>
        <w:gridCol w:w="1714"/>
      </w:tblGrid>
      <w:tr w:rsidR="000923A1" w:rsidRPr="006E234B" w14:paraId="66656F46" w14:textId="77777777" w:rsidTr="00F551B5">
        <w:trPr>
          <w:trHeight w:val="1145"/>
          <w:jc w:val="center"/>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39C477" w14:textId="77777777" w:rsidR="000923A1" w:rsidRPr="006E234B" w:rsidRDefault="000923A1" w:rsidP="00F551B5">
            <w:pPr>
              <w:rPr>
                <w:rFonts w:ascii="Calibri" w:hAnsi="Calibri" w:cs="Calibri"/>
                <w:b/>
                <w:bCs/>
                <w:color w:val="000000"/>
                <w:sz w:val="32"/>
                <w:szCs w:val="32"/>
              </w:rPr>
            </w:pPr>
            <w:r w:rsidRPr="006E234B">
              <w:rPr>
                <w:rFonts w:ascii="Calibri" w:hAnsi="Calibri" w:cs="Calibri"/>
                <w:b/>
                <w:bCs/>
                <w:color w:val="000000"/>
                <w:sz w:val="32"/>
                <w:szCs w:val="32"/>
              </w:rPr>
              <w:t>Project Name</w:t>
            </w:r>
          </w:p>
        </w:tc>
        <w:tc>
          <w:tcPr>
            <w:tcW w:w="3118" w:type="dxa"/>
            <w:tcBorders>
              <w:top w:val="single" w:sz="8" w:space="0" w:color="auto"/>
              <w:left w:val="nil"/>
              <w:bottom w:val="single" w:sz="8" w:space="0" w:color="auto"/>
              <w:right w:val="single" w:sz="4" w:space="0" w:color="auto"/>
            </w:tcBorders>
            <w:shd w:val="clear" w:color="auto" w:fill="auto"/>
            <w:vAlign w:val="center"/>
            <w:hideMark/>
          </w:tcPr>
          <w:p w14:paraId="3E32CD1E" w14:textId="77777777" w:rsidR="000923A1" w:rsidRPr="006E234B" w:rsidRDefault="000923A1" w:rsidP="00F551B5">
            <w:pPr>
              <w:rPr>
                <w:rFonts w:ascii="Calibri" w:hAnsi="Calibri" w:cs="Calibri"/>
                <w:b/>
                <w:bCs/>
                <w:color w:val="000000"/>
                <w:sz w:val="32"/>
                <w:szCs w:val="32"/>
              </w:rPr>
            </w:pPr>
            <w:r w:rsidRPr="006E234B">
              <w:rPr>
                <w:rFonts w:ascii="Calibri" w:hAnsi="Calibri" w:cs="Calibri"/>
                <w:b/>
                <w:bCs/>
                <w:color w:val="000000"/>
                <w:sz w:val="32"/>
                <w:szCs w:val="32"/>
              </w:rPr>
              <w:t>Year 1 Milestones</w:t>
            </w:r>
          </w:p>
        </w:tc>
        <w:tc>
          <w:tcPr>
            <w:tcW w:w="1965" w:type="dxa"/>
            <w:tcBorders>
              <w:top w:val="single" w:sz="8" w:space="0" w:color="auto"/>
              <w:left w:val="nil"/>
              <w:bottom w:val="single" w:sz="8" w:space="0" w:color="auto"/>
              <w:right w:val="single" w:sz="8" w:space="0" w:color="auto"/>
            </w:tcBorders>
            <w:shd w:val="clear" w:color="auto" w:fill="auto"/>
            <w:vAlign w:val="center"/>
            <w:hideMark/>
          </w:tcPr>
          <w:p w14:paraId="3DF3C11B" w14:textId="77777777" w:rsidR="000923A1" w:rsidRPr="006E234B" w:rsidRDefault="000923A1" w:rsidP="00F551B5">
            <w:pPr>
              <w:rPr>
                <w:rFonts w:ascii="Calibri" w:hAnsi="Calibri" w:cs="Calibri"/>
                <w:b/>
                <w:bCs/>
                <w:color w:val="000000"/>
                <w:sz w:val="32"/>
                <w:szCs w:val="32"/>
              </w:rPr>
            </w:pPr>
            <w:r w:rsidRPr="006E234B">
              <w:rPr>
                <w:rFonts w:ascii="Calibri" w:hAnsi="Calibri" w:cs="Calibri"/>
                <w:b/>
                <w:bCs/>
                <w:color w:val="000000"/>
                <w:sz w:val="32"/>
                <w:szCs w:val="32"/>
              </w:rPr>
              <w:t>Estimated Y1 spend (£)</w:t>
            </w:r>
          </w:p>
        </w:tc>
        <w:tc>
          <w:tcPr>
            <w:tcW w:w="1714" w:type="dxa"/>
            <w:tcBorders>
              <w:top w:val="single" w:sz="8" w:space="0" w:color="auto"/>
              <w:left w:val="nil"/>
              <w:bottom w:val="single" w:sz="8" w:space="0" w:color="auto"/>
              <w:right w:val="single" w:sz="4" w:space="0" w:color="auto"/>
            </w:tcBorders>
            <w:shd w:val="clear" w:color="auto" w:fill="auto"/>
            <w:vAlign w:val="center"/>
            <w:hideMark/>
          </w:tcPr>
          <w:p w14:paraId="4B43EE0B" w14:textId="77777777" w:rsidR="000923A1" w:rsidRPr="006E234B" w:rsidRDefault="000923A1" w:rsidP="00F551B5">
            <w:pPr>
              <w:rPr>
                <w:rFonts w:ascii="Calibri" w:hAnsi="Calibri" w:cs="Calibri"/>
                <w:b/>
                <w:bCs/>
                <w:color w:val="000000"/>
                <w:sz w:val="20"/>
                <w:szCs w:val="24"/>
              </w:rPr>
            </w:pPr>
            <w:r w:rsidRPr="006E234B">
              <w:rPr>
                <w:rFonts w:ascii="Calibri" w:hAnsi="Calibri" w:cs="Calibri"/>
                <w:b/>
                <w:bCs/>
                <w:color w:val="000000"/>
                <w:sz w:val="20"/>
                <w:szCs w:val="24"/>
              </w:rPr>
              <w:t>Potential total impact of Growth Deal for 5 Year Programme (£)</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080FEF8B" w14:textId="77777777" w:rsidR="000923A1" w:rsidRPr="006E234B" w:rsidRDefault="000923A1" w:rsidP="00F551B5">
            <w:pPr>
              <w:rPr>
                <w:rFonts w:ascii="Calibri" w:hAnsi="Calibri" w:cs="Calibri"/>
                <w:b/>
                <w:bCs/>
                <w:color w:val="000000"/>
                <w:sz w:val="20"/>
                <w:szCs w:val="24"/>
              </w:rPr>
            </w:pPr>
            <w:r w:rsidRPr="006E234B">
              <w:rPr>
                <w:rFonts w:ascii="Calibri" w:hAnsi="Calibri" w:cs="Calibri"/>
                <w:b/>
                <w:bCs/>
                <w:color w:val="000000"/>
                <w:sz w:val="20"/>
                <w:szCs w:val="24"/>
              </w:rPr>
              <w:t>Full cost of scheme (£)</w:t>
            </w:r>
          </w:p>
        </w:tc>
      </w:tr>
      <w:tr w:rsidR="000923A1" w:rsidRPr="006E234B" w14:paraId="7FF7A46B" w14:textId="77777777" w:rsidTr="00F551B5">
        <w:trPr>
          <w:trHeight w:val="60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5C6AD115"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A40 Western Strategic Corridor Improvements</w:t>
            </w:r>
          </w:p>
        </w:tc>
        <w:tc>
          <w:tcPr>
            <w:tcW w:w="3118" w:type="dxa"/>
            <w:tcBorders>
              <w:top w:val="nil"/>
              <w:left w:val="nil"/>
              <w:bottom w:val="single" w:sz="4" w:space="0" w:color="auto"/>
              <w:right w:val="single" w:sz="4" w:space="0" w:color="auto"/>
            </w:tcBorders>
            <w:shd w:val="clear" w:color="auto" w:fill="auto"/>
            <w:vAlign w:val="center"/>
            <w:hideMark/>
          </w:tcPr>
          <w:p w14:paraId="08E3E7C0"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Stage 1 - Outline Business Case - Feasibility to single option</w:t>
            </w:r>
          </w:p>
        </w:tc>
        <w:tc>
          <w:tcPr>
            <w:tcW w:w="1965" w:type="dxa"/>
            <w:tcBorders>
              <w:top w:val="nil"/>
              <w:left w:val="nil"/>
              <w:bottom w:val="single" w:sz="4" w:space="0" w:color="auto"/>
              <w:right w:val="single" w:sz="8" w:space="0" w:color="auto"/>
            </w:tcBorders>
            <w:shd w:val="clear" w:color="auto" w:fill="auto"/>
            <w:vAlign w:val="center"/>
            <w:hideMark/>
          </w:tcPr>
          <w:p w14:paraId="2A3E716A"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1,000,000</w:t>
            </w:r>
          </w:p>
        </w:tc>
        <w:tc>
          <w:tcPr>
            <w:tcW w:w="1714" w:type="dxa"/>
            <w:tcBorders>
              <w:top w:val="nil"/>
              <w:left w:val="nil"/>
              <w:bottom w:val="single" w:sz="4" w:space="0" w:color="auto"/>
              <w:right w:val="single" w:sz="4" w:space="0" w:color="auto"/>
            </w:tcBorders>
            <w:shd w:val="clear" w:color="auto" w:fill="auto"/>
            <w:vAlign w:val="center"/>
            <w:hideMark/>
          </w:tcPr>
          <w:p w14:paraId="3891BFFB"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16,450,000</w:t>
            </w:r>
          </w:p>
        </w:tc>
        <w:tc>
          <w:tcPr>
            <w:tcW w:w="1714" w:type="dxa"/>
            <w:tcBorders>
              <w:top w:val="nil"/>
              <w:left w:val="nil"/>
              <w:bottom w:val="single" w:sz="4" w:space="0" w:color="auto"/>
              <w:right w:val="single" w:sz="8" w:space="0" w:color="auto"/>
            </w:tcBorders>
            <w:shd w:val="clear" w:color="auto" w:fill="auto"/>
            <w:vAlign w:val="center"/>
            <w:hideMark/>
          </w:tcPr>
          <w:p w14:paraId="4A7EDD2B"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18,900,000</w:t>
            </w:r>
          </w:p>
        </w:tc>
      </w:tr>
      <w:tr w:rsidR="000923A1" w:rsidRPr="006E234B" w14:paraId="6BD3200A" w14:textId="77777777" w:rsidTr="00F551B5">
        <w:trPr>
          <w:trHeight w:val="60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5A6B88FE"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Access to Carterton</w:t>
            </w:r>
          </w:p>
        </w:tc>
        <w:tc>
          <w:tcPr>
            <w:tcW w:w="3118" w:type="dxa"/>
            <w:tcBorders>
              <w:top w:val="nil"/>
              <w:left w:val="nil"/>
              <w:bottom w:val="single" w:sz="4" w:space="0" w:color="auto"/>
              <w:right w:val="single" w:sz="4" w:space="0" w:color="auto"/>
            </w:tcBorders>
            <w:shd w:val="clear" w:color="auto" w:fill="auto"/>
            <w:vAlign w:val="center"/>
            <w:hideMark/>
          </w:tcPr>
          <w:p w14:paraId="6A73564E"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Stage 1 - Outline Business Case - Feasibility - single option</w:t>
            </w:r>
          </w:p>
        </w:tc>
        <w:tc>
          <w:tcPr>
            <w:tcW w:w="1965" w:type="dxa"/>
            <w:tcBorders>
              <w:top w:val="nil"/>
              <w:left w:val="nil"/>
              <w:bottom w:val="single" w:sz="4" w:space="0" w:color="auto"/>
              <w:right w:val="single" w:sz="8" w:space="0" w:color="auto"/>
            </w:tcBorders>
            <w:shd w:val="clear" w:color="auto" w:fill="auto"/>
            <w:vAlign w:val="center"/>
            <w:hideMark/>
          </w:tcPr>
          <w:p w14:paraId="65C2ECF6"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575,000</w:t>
            </w:r>
          </w:p>
        </w:tc>
        <w:tc>
          <w:tcPr>
            <w:tcW w:w="1714" w:type="dxa"/>
            <w:tcBorders>
              <w:top w:val="nil"/>
              <w:left w:val="nil"/>
              <w:bottom w:val="single" w:sz="4" w:space="0" w:color="auto"/>
              <w:right w:val="single" w:sz="4" w:space="0" w:color="auto"/>
            </w:tcBorders>
            <w:shd w:val="clear" w:color="auto" w:fill="auto"/>
            <w:vAlign w:val="center"/>
            <w:hideMark/>
          </w:tcPr>
          <w:p w14:paraId="02099886"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9,800,000</w:t>
            </w:r>
          </w:p>
        </w:tc>
        <w:tc>
          <w:tcPr>
            <w:tcW w:w="1714" w:type="dxa"/>
            <w:tcBorders>
              <w:top w:val="nil"/>
              <w:left w:val="nil"/>
              <w:bottom w:val="single" w:sz="4" w:space="0" w:color="auto"/>
              <w:right w:val="single" w:sz="8" w:space="0" w:color="auto"/>
            </w:tcBorders>
            <w:shd w:val="clear" w:color="auto" w:fill="auto"/>
            <w:vAlign w:val="center"/>
            <w:hideMark/>
          </w:tcPr>
          <w:p w14:paraId="452D0985"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11,500,000</w:t>
            </w:r>
          </w:p>
        </w:tc>
      </w:tr>
      <w:tr w:rsidR="000923A1" w:rsidRPr="006E234B" w14:paraId="65980BDF" w14:textId="77777777" w:rsidTr="00F551B5">
        <w:trPr>
          <w:trHeight w:val="60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1D80FF9E"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Access to Headington</w:t>
            </w:r>
          </w:p>
        </w:tc>
        <w:tc>
          <w:tcPr>
            <w:tcW w:w="3118" w:type="dxa"/>
            <w:tcBorders>
              <w:top w:val="nil"/>
              <w:left w:val="nil"/>
              <w:bottom w:val="single" w:sz="4" w:space="0" w:color="auto"/>
              <w:right w:val="single" w:sz="4" w:space="0" w:color="auto"/>
            </w:tcBorders>
            <w:shd w:val="clear" w:color="auto" w:fill="auto"/>
            <w:vAlign w:val="center"/>
            <w:hideMark/>
          </w:tcPr>
          <w:p w14:paraId="78DB1E19"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Stage 2 - Full business case - Start construction</w:t>
            </w:r>
          </w:p>
        </w:tc>
        <w:tc>
          <w:tcPr>
            <w:tcW w:w="1965" w:type="dxa"/>
            <w:tcBorders>
              <w:top w:val="nil"/>
              <w:left w:val="nil"/>
              <w:bottom w:val="single" w:sz="4" w:space="0" w:color="auto"/>
              <w:right w:val="single" w:sz="8" w:space="0" w:color="auto"/>
            </w:tcBorders>
            <w:shd w:val="clear" w:color="auto" w:fill="auto"/>
            <w:vAlign w:val="center"/>
            <w:hideMark/>
          </w:tcPr>
          <w:p w14:paraId="091E8CC9"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3,000,000</w:t>
            </w:r>
          </w:p>
        </w:tc>
        <w:tc>
          <w:tcPr>
            <w:tcW w:w="1714" w:type="dxa"/>
            <w:tcBorders>
              <w:top w:val="nil"/>
              <w:left w:val="nil"/>
              <w:bottom w:val="single" w:sz="4" w:space="0" w:color="auto"/>
              <w:right w:val="single" w:sz="4" w:space="0" w:color="auto"/>
            </w:tcBorders>
            <w:shd w:val="clear" w:color="auto" w:fill="auto"/>
            <w:vAlign w:val="center"/>
            <w:hideMark/>
          </w:tcPr>
          <w:p w14:paraId="740BBD7A"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3,500,000</w:t>
            </w:r>
          </w:p>
        </w:tc>
        <w:tc>
          <w:tcPr>
            <w:tcW w:w="1714" w:type="dxa"/>
            <w:tcBorders>
              <w:top w:val="nil"/>
              <w:left w:val="nil"/>
              <w:bottom w:val="single" w:sz="4" w:space="0" w:color="auto"/>
              <w:right w:val="single" w:sz="8" w:space="0" w:color="auto"/>
            </w:tcBorders>
            <w:shd w:val="clear" w:color="auto" w:fill="auto"/>
            <w:vAlign w:val="center"/>
            <w:hideMark/>
          </w:tcPr>
          <w:p w14:paraId="0170F5F3"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3,500,000</w:t>
            </w:r>
          </w:p>
        </w:tc>
      </w:tr>
      <w:tr w:rsidR="000923A1" w:rsidRPr="006E234B" w14:paraId="44A369B4" w14:textId="77777777" w:rsidTr="00F551B5">
        <w:trPr>
          <w:trHeight w:val="60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150C4461"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Oxford City-wide Cycle and Pedestrian Routes</w:t>
            </w:r>
          </w:p>
        </w:tc>
        <w:tc>
          <w:tcPr>
            <w:tcW w:w="3118" w:type="dxa"/>
            <w:tcBorders>
              <w:top w:val="nil"/>
              <w:left w:val="nil"/>
              <w:bottom w:val="single" w:sz="4" w:space="0" w:color="auto"/>
              <w:right w:val="single" w:sz="4" w:space="0" w:color="auto"/>
            </w:tcBorders>
            <w:shd w:val="clear" w:color="auto" w:fill="auto"/>
            <w:vAlign w:val="center"/>
            <w:hideMark/>
          </w:tcPr>
          <w:p w14:paraId="12A7FE6E" w14:textId="52624F4F" w:rsidR="000923A1" w:rsidRPr="006E234B" w:rsidRDefault="000923A1" w:rsidP="000977D4">
            <w:pPr>
              <w:rPr>
                <w:rFonts w:ascii="Calibri" w:hAnsi="Calibri" w:cs="Calibri"/>
                <w:color w:val="000000"/>
                <w:sz w:val="22"/>
                <w:szCs w:val="22"/>
              </w:rPr>
            </w:pPr>
            <w:r w:rsidRPr="006E234B">
              <w:rPr>
                <w:rFonts w:ascii="Calibri" w:hAnsi="Calibri" w:cs="Calibri"/>
                <w:color w:val="000000"/>
                <w:sz w:val="22"/>
                <w:szCs w:val="22"/>
              </w:rPr>
              <w:t xml:space="preserve">Stage 0B - Initial Business Case - Feasibility </w:t>
            </w:r>
            <w:r w:rsidR="004B490B">
              <w:rPr>
                <w:rFonts w:ascii="Calibri" w:hAnsi="Calibri" w:cs="Calibri"/>
                <w:color w:val="000000"/>
                <w:sz w:val="22"/>
                <w:szCs w:val="22"/>
              </w:rPr>
              <w:t>–</w:t>
            </w:r>
            <w:r w:rsidRPr="006E234B">
              <w:rPr>
                <w:rFonts w:ascii="Calibri" w:hAnsi="Calibri" w:cs="Calibri"/>
                <w:color w:val="000000"/>
                <w:sz w:val="22"/>
                <w:szCs w:val="22"/>
              </w:rPr>
              <w:t xml:space="preserve"> option</w:t>
            </w:r>
            <w:r w:rsidR="000977D4">
              <w:rPr>
                <w:rFonts w:ascii="Calibri" w:hAnsi="Calibri" w:cs="Calibri"/>
                <w:color w:val="000000"/>
                <w:sz w:val="22"/>
                <w:szCs w:val="22"/>
              </w:rPr>
              <w:t>s</w:t>
            </w:r>
          </w:p>
        </w:tc>
        <w:tc>
          <w:tcPr>
            <w:tcW w:w="1965" w:type="dxa"/>
            <w:tcBorders>
              <w:top w:val="nil"/>
              <w:left w:val="nil"/>
              <w:bottom w:val="single" w:sz="4" w:space="0" w:color="auto"/>
              <w:right w:val="single" w:sz="8" w:space="0" w:color="auto"/>
            </w:tcBorders>
            <w:shd w:val="clear" w:color="auto" w:fill="auto"/>
            <w:vAlign w:val="center"/>
            <w:hideMark/>
          </w:tcPr>
          <w:p w14:paraId="51D8767C"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1,400,000</w:t>
            </w:r>
          </w:p>
        </w:tc>
        <w:tc>
          <w:tcPr>
            <w:tcW w:w="1714" w:type="dxa"/>
            <w:tcBorders>
              <w:top w:val="nil"/>
              <w:left w:val="nil"/>
              <w:bottom w:val="single" w:sz="4" w:space="0" w:color="auto"/>
              <w:right w:val="single" w:sz="4" w:space="0" w:color="auto"/>
            </w:tcBorders>
            <w:shd w:val="clear" w:color="auto" w:fill="auto"/>
            <w:vAlign w:val="center"/>
            <w:hideMark/>
          </w:tcPr>
          <w:p w14:paraId="7846598C"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4,600,000</w:t>
            </w:r>
          </w:p>
        </w:tc>
        <w:tc>
          <w:tcPr>
            <w:tcW w:w="1714" w:type="dxa"/>
            <w:tcBorders>
              <w:top w:val="nil"/>
              <w:left w:val="nil"/>
              <w:bottom w:val="single" w:sz="4" w:space="0" w:color="auto"/>
              <w:right w:val="single" w:sz="8" w:space="0" w:color="auto"/>
            </w:tcBorders>
            <w:shd w:val="clear" w:color="auto" w:fill="auto"/>
            <w:vAlign w:val="center"/>
            <w:hideMark/>
          </w:tcPr>
          <w:p w14:paraId="3DE63C48"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4,600,000</w:t>
            </w:r>
          </w:p>
        </w:tc>
      </w:tr>
      <w:tr w:rsidR="000923A1" w:rsidRPr="006E234B" w14:paraId="2B741B2D" w14:textId="77777777" w:rsidTr="00F551B5">
        <w:trPr>
          <w:trHeight w:val="58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4C1AE62C"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A4260 and A44 Corridors Improvements</w:t>
            </w:r>
          </w:p>
        </w:tc>
        <w:tc>
          <w:tcPr>
            <w:tcW w:w="3118" w:type="dxa"/>
            <w:tcBorders>
              <w:top w:val="nil"/>
              <w:left w:val="nil"/>
              <w:bottom w:val="single" w:sz="4" w:space="0" w:color="auto"/>
              <w:right w:val="single" w:sz="4" w:space="0" w:color="auto"/>
            </w:tcBorders>
            <w:shd w:val="clear" w:color="auto" w:fill="auto"/>
            <w:vAlign w:val="bottom"/>
            <w:hideMark/>
          </w:tcPr>
          <w:p w14:paraId="3EFD0046"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Completion of Stage 1 Business Case - Feasibility - single option</w:t>
            </w:r>
          </w:p>
        </w:tc>
        <w:tc>
          <w:tcPr>
            <w:tcW w:w="1965" w:type="dxa"/>
            <w:tcBorders>
              <w:top w:val="nil"/>
              <w:left w:val="nil"/>
              <w:bottom w:val="single" w:sz="4" w:space="0" w:color="auto"/>
              <w:right w:val="single" w:sz="8" w:space="0" w:color="auto"/>
            </w:tcBorders>
            <w:shd w:val="clear" w:color="auto" w:fill="auto"/>
            <w:vAlign w:val="center"/>
            <w:hideMark/>
          </w:tcPr>
          <w:p w14:paraId="0B00528D"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1,500,000</w:t>
            </w:r>
          </w:p>
        </w:tc>
        <w:tc>
          <w:tcPr>
            <w:tcW w:w="1714" w:type="dxa"/>
            <w:tcBorders>
              <w:top w:val="nil"/>
              <w:left w:val="nil"/>
              <w:bottom w:val="single" w:sz="4" w:space="0" w:color="auto"/>
              <w:right w:val="single" w:sz="4" w:space="0" w:color="auto"/>
            </w:tcBorders>
            <w:shd w:val="clear" w:color="auto" w:fill="auto"/>
            <w:vAlign w:val="center"/>
            <w:hideMark/>
          </w:tcPr>
          <w:p w14:paraId="266BABE3"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6,590,000</w:t>
            </w:r>
          </w:p>
        </w:tc>
        <w:tc>
          <w:tcPr>
            <w:tcW w:w="1714" w:type="dxa"/>
            <w:tcBorders>
              <w:top w:val="nil"/>
              <w:left w:val="nil"/>
              <w:bottom w:val="single" w:sz="4" w:space="0" w:color="auto"/>
              <w:right w:val="single" w:sz="8" w:space="0" w:color="auto"/>
            </w:tcBorders>
            <w:shd w:val="clear" w:color="auto" w:fill="auto"/>
            <w:vAlign w:val="center"/>
            <w:hideMark/>
          </w:tcPr>
          <w:p w14:paraId="0BADF3F1"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65,900,000</w:t>
            </w:r>
          </w:p>
        </w:tc>
      </w:tr>
      <w:tr w:rsidR="000923A1" w:rsidRPr="006E234B" w14:paraId="7EB9976A" w14:textId="77777777" w:rsidTr="00F551B5">
        <w:trPr>
          <w:trHeight w:val="60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204350C9"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Botley Road Rail Bridge</w:t>
            </w:r>
          </w:p>
        </w:tc>
        <w:tc>
          <w:tcPr>
            <w:tcW w:w="3118" w:type="dxa"/>
            <w:tcBorders>
              <w:top w:val="nil"/>
              <w:left w:val="nil"/>
              <w:bottom w:val="single" w:sz="4" w:space="0" w:color="auto"/>
              <w:right w:val="single" w:sz="4" w:space="0" w:color="auto"/>
            </w:tcBorders>
            <w:shd w:val="clear" w:color="auto" w:fill="auto"/>
            <w:vAlign w:val="center"/>
            <w:hideMark/>
          </w:tcPr>
          <w:p w14:paraId="517EF4C7"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Stage 1 - Outline Business Case - Preliminary design</w:t>
            </w:r>
          </w:p>
        </w:tc>
        <w:tc>
          <w:tcPr>
            <w:tcW w:w="1965" w:type="dxa"/>
            <w:tcBorders>
              <w:top w:val="nil"/>
              <w:left w:val="nil"/>
              <w:bottom w:val="single" w:sz="4" w:space="0" w:color="auto"/>
              <w:right w:val="single" w:sz="8" w:space="0" w:color="auto"/>
            </w:tcBorders>
            <w:shd w:val="clear" w:color="auto" w:fill="auto"/>
            <w:vAlign w:val="center"/>
            <w:hideMark/>
          </w:tcPr>
          <w:p w14:paraId="0E815442"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500,000</w:t>
            </w:r>
          </w:p>
        </w:tc>
        <w:tc>
          <w:tcPr>
            <w:tcW w:w="1714" w:type="dxa"/>
            <w:tcBorders>
              <w:top w:val="nil"/>
              <w:left w:val="nil"/>
              <w:bottom w:val="single" w:sz="4" w:space="0" w:color="auto"/>
              <w:right w:val="single" w:sz="4" w:space="0" w:color="auto"/>
            </w:tcBorders>
            <w:shd w:val="clear" w:color="auto" w:fill="auto"/>
            <w:vAlign w:val="center"/>
            <w:hideMark/>
          </w:tcPr>
          <w:p w14:paraId="128A12EA"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500,000</w:t>
            </w:r>
          </w:p>
        </w:tc>
        <w:tc>
          <w:tcPr>
            <w:tcW w:w="1714" w:type="dxa"/>
            <w:tcBorders>
              <w:top w:val="nil"/>
              <w:left w:val="nil"/>
              <w:bottom w:val="single" w:sz="4" w:space="0" w:color="auto"/>
              <w:right w:val="single" w:sz="8" w:space="0" w:color="auto"/>
            </w:tcBorders>
            <w:shd w:val="clear" w:color="auto" w:fill="auto"/>
            <w:vAlign w:val="center"/>
            <w:hideMark/>
          </w:tcPr>
          <w:p w14:paraId="5604518E"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40,000,000</w:t>
            </w:r>
          </w:p>
        </w:tc>
      </w:tr>
      <w:tr w:rsidR="000923A1" w:rsidRPr="006E234B" w14:paraId="69474229" w14:textId="77777777" w:rsidTr="00F551B5">
        <w:trPr>
          <w:trHeight w:val="60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30F2ADC0"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South East Oxford Corridor Improvements</w:t>
            </w:r>
          </w:p>
        </w:tc>
        <w:tc>
          <w:tcPr>
            <w:tcW w:w="3118" w:type="dxa"/>
            <w:tcBorders>
              <w:top w:val="nil"/>
              <w:left w:val="nil"/>
              <w:bottom w:val="single" w:sz="4" w:space="0" w:color="auto"/>
              <w:right w:val="single" w:sz="4" w:space="0" w:color="auto"/>
            </w:tcBorders>
            <w:shd w:val="clear" w:color="auto" w:fill="auto"/>
            <w:vAlign w:val="center"/>
            <w:hideMark/>
          </w:tcPr>
          <w:p w14:paraId="69007C7C"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Stage 1 - Outline Business Case - Feasibility to single option</w:t>
            </w:r>
          </w:p>
        </w:tc>
        <w:tc>
          <w:tcPr>
            <w:tcW w:w="1965" w:type="dxa"/>
            <w:tcBorders>
              <w:top w:val="nil"/>
              <w:left w:val="nil"/>
              <w:bottom w:val="single" w:sz="4" w:space="0" w:color="auto"/>
              <w:right w:val="single" w:sz="8" w:space="0" w:color="auto"/>
            </w:tcBorders>
            <w:shd w:val="clear" w:color="auto" w:fill="auto"/>
            <w:vAlign w:val="center"/>
            <w:hideMark/>
          </w:tcPr>
          <w:p w14:paraId="52B483CD"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300,000</w:t>
            </w:r>
          </w:p>
        </w:tc>
        <w:tc>
          <w:tcPr>
            <w:tcW w:w="1714" w:type="dxa"/>
            <w:tcBorders>
              <w:top w:val="nil"/>
              <w:left w:val="nil"/>
              <w:bottom w:val="single" w:sz="4" w:space="0" w:color="auto"/>
              <w:right w:val="single" w:sz="4" w:space="0" w:color="auto"/>
            </w:tcBorders>
            <w:shd w:val="clear" w:color="auto" w:fill="auto"/>
            <w:vAlign w:val="center"/>
            <w:hideMark/>
          </w:tcPr>
          <w:p w14:paraId="723138BF"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1,000,000</w:t>
            </w:r>
          </w:p>
        </w:tc>
        <w:tc>
          <w:tcPr>
            <w:tcW w:w="1714" w:type="dxa"/>
            <w:tcBorders>
              <w:top w:val="nil"/>
              <w:left w:val="nil"/>
              <w:bottom w:val="single" w:sz="4" w:space="0" w:color="auto"/>
              <w:right w:val="single" w:sz="8" w:space="0" w:color="auto"/>
            </w:tcBorders>
            <w:shd w:val="clear" w:color="auto" w:fill="auto"/>
            <w:vAlign w:val="center"/>
            <w:hideMark/>
          </w:tcPr>
          <w:p w14:paraId="655AD917"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14,000,000</w:t>
            </w:r>
          </w:p>
        </w:tc>
      </w:tr>
      <w:tr w:rsidR="000923A1" w:rsidRPr="006E234B" w14:paraId="64AE7A4A" w14:textId="77777777" w:rsidTr="00F551B5">
        <w:trPr>
          <w:trHeight w:val="87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6DC213EE"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Botley Road Corridor</w:t>
            </w:r>
          </w:p>
        </w:tc>
        <w:tc>
          <w:tcPr>
            <w:tcW w:w="3118" w:type="dxa"/>
            <w:tcBorders>
              <w:top w:val="nil"/>
              <w:left w:val="nil"/>
              <w:bottom w:val="single" w:sz="4" w:space="0" w:color="auto"/>
              <w:right w:val="single" w:sz="4" w:space="0" w:color="auto"/>
            </w:tcBorders>
            <w:shd w:val="clear" w:color="auto" w:fill="auto"/>
            <w:vAlign w:val="center"/>
            <w:hideMark/>
          </w:tcPr>
          <w:p w14:paraId="49838706"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 xml:space="preserve">Botley Road Corridor Phase 1: Stage 2 Full Business Case - Detailed design/ start construction </w:t>
            </w:r>
            <w:r w:rsidRPr="006E234B">
              <w:rPr>
                <w:rFonts w:ascii="Calibri" w:hAnsi="Calibri" w:cs="Calibri"/>
                <w:color w:val="000000"/>
                <w:sz w:val="22"/>
                <w:szCs w:val="22"/>
              </w:rPr>
              <w:br/>
              <w:t>Botley Road Corridor Phase 2: Stage 0B - Initial Business Case</w:t>
            </w:r>
          </w:p>
        </w:tc>
        <w:tc>
          <w:tcPr>
            <w:tcW w:w="1965" w:type="dxa"/>
            <w:tcBorders>
              <w:top w:val="nil"/>
              <w:left w:val="nil"/>
              <w:bottom w:val="single" w:sz="4" w:space="0" w:color="auto"/>
              <w:right w:val="single" w:sz="8" w:space="0" w:color="auto"/>
            </w:tcBorders>
            <w:shd w:val="clear" w:color="auto" w:fill="auto"/>
            <w:vAlign w:val="center"/>
            <w:hideMark/>
          </w:tcPr>
          <w:p w14:paraId="55DFCADE"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3,250,000</w:t>
            </w:r>
          </w:p>
        </w:tc>
        <w:tc>
          <w:tcPr>
            <w:tcW w:w="1714" w:type="dxa"/>
            <w:tcBorders>
              <w:top w:val="nil"/>
              <w:left w:val="nil"/>
              <w:bottom w:val="single" w:sz="4" w:space="0" w:color="auto"/>
              <w:right w:val="single" w:sz="4" w:space="0" w:color="auto"/>
            </w:tcBorders>
            <w:shd w:val="clear" w:color="auto" w:fill="auto"/>
            <w:vAlign w:val="center"/>
            <w:hideMark/>
          </w:tcPr>
          <w:p w14:paraId="057690C0"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3,750,000</w:t>
            </w:r>
          </w:p>
        </w:tc>
        <w:tc>
          <w:tcPr>
            <w:tcW w:w="1714" w:type="dxa"/>
            <w:tcBorders>
              <w:top w:val="nil"/>
              <w:left w:val="nil"/>
              <w:bottom w:val="single" w:sz="4" w:space="0" w:color="auto"/>
              <w:right w:val="single" w:sz="8" w:space="0" w:color="auto"/>
            </w:tcBorders>
            <w:shd w:val="clear" w:color="auto" w:fill="auto"/>
            <w:vAlign w:val="center"/>
            <w:hideMark/>
          </w:tcPr>
          <w:p w14:paraId="309BD105"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8,750,000</w:t>
            </w:r>
          </w:p>
        </w:tc>
      </w:tr>
      <w:tr w:rsidR="000923A1" w:rsidRPr="006E234B" w14:paraId="4F2ED52A" w14:textId="77777777" w:rsidTr="00F551B5">
        <w:trPr>
          <w:trHeight w:val="60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1496620B"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Featherbed Lane Capacity Improvements and Junction Widening at A4130/B4017</w:t>
            </w:r>
          </w:p>
        </w:tc>
        <w:tc>
          <w:tcPr>
            <w:tcW w:w="3118" w:type="dxa"/>
            <w:tcBorders>
              <w:top w:val="nil"/>
              <w:left w:val="nil"/>
              <w:bottom w:val="single" w:sz="4" w:space="0" w:color="auto"/>
              <w:right w:val="single" w:sz="4" w:space="0" w:color="auto"/>
            </w:tcBorders>
            <w:shd w:val="clear" w:color="auto" w:fill="auto"/>
            <w:vAlign w:val="center"/>
            <w:hideMark/>
          </w:tcPr>
          <w:p w14:paraId="683C0ED2"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Enabling works</w:t>
            </w:r>
          </w:p>
        </w:tc>
        <w:tc>
          <w:tcPr>
            <w:tcW w:w="1965" w:type="dxa"/>
            <w:tcBorders>
              <w:top w:val="nil"/>
              <w:left w:val="nil"/>
              <w:bottom w:val="single" w:sz="4" w:space="0" w:color="auto"/>
              <w:right w:val="single" w:sz="8" w:space="0" w:color="auto"/>
            </w:tcBorders>
            <w:shd w:val="clear" w:color="auto" w:fill="auto"/>
            <w:vAlign w:val="center"/>
            <w:hideMark/>
          </w:tcPr>
          <w:p w14:paraId="63116B6C"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200,000</w:t>
            </w:r>
          </w:p>
        </w:tc>
        <w:tc>
          <w:tcPr>
            <w:tcW w:w="1714" w:type="dxa"/>
            <w:tcBorders>
              <w:top w:val="nil"/>
              <w:left w:val="nil"/>
              <w:bottom w:val="single" w:sz="4" w:space="0" w:color="auto"/>
              <w:right w:val="single" w:sz="4" w:space="0" w:color="auto"/>
            </w:tcBorders>
            <w:shd w:val="clear" w:color="auto" w:fill="auto"/>
            <w:vAlign w:val="center"/>
            <w:hideMark/>
          </w:tcPr>
          <w:p w14:paraId="2E5305F9"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2,500,000</w:t>
            </w:r>
          </w:p>
        </w:tc>
        <w:tc>
          <w:tcPr>
            <w:tcW w:w="1714" w:type="dxa"/>
            <w:tcBorders>
              <w:top w:val="nil"/>
              <w:left w:val="nil"/>
              <w:bottom w:val="single" w:sz="4" w:space="0" w:color="auto"/>
              <w:right w:val="single" w:sz="8" w:space="0" w:color="auto"/>
            </w:tcBorders>
            <w:shd w:val="clear" w:color="auto" w:fill="auto"/>
            <w:vAlign w:val="center"/>
            <w:hideMark/>
          </w:tcPr>
          <w:p w14:paraId="4218DEF9"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10,000,000</w:t>
            </w:r>
          </w:p>
        </w:tc>
      </w:tr>
      <w:tr w:rsidR="000923A1" w:rsidRPr="006E234B" w14:paraId="66AA5399" w14:textId="77777777" w:rsidTr="00F551B5">
        <w:trPr>
          <w:trHeight w:val="87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52B49CE0"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Tramway Road (Banbury)</w:t>
            </w:r>
          </w:p>
        </w:tc>
        <w:tc>
          <w:tcPr>
            <w:tcW w:w="3118" w:type="dxa"/>
            <w:tcBorders>
              <w:top w:val="nil"/>
              <w:left w:val="nil"/>
              <w:bottom w:val="single" w:sz="4" w:space="0" w:color="auto"/>
              <w:right w:val="single" w:sz="4" w:space="0" w:color="auto"/>
            </w:tcBorders>
            <w:shd w:val="clear" w:color="auto" w:fill="auto"/>
            <w:vAlign w:val="center"/>
            <w:hideMark/>
          </w:tcPr>
          <w:p w14:paraId="75F31770"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Completion of Stage 1 business case - Feasibility - Single option. (Potentially Preliminary design/ Detailed design/ and Construction of Junction Signalling)</w:t>
            </w:r>
          </w:p>
        </w:tc>
        <w:tc>
          <w:tcPr>
            <w:tcW w:w="1965" w:type="dxa"/>
            <w:tcBorders>
              <w:top w:val="nil"/>
              <w:left w:val="nil"/>
              <w:bottom w:val="single" w:sz="4" w:space="0" w:color="auto"/>
              <w:right w:val="single" w:sz="8" w:space="0" w:color="auto"/>
            </w:tcBorders>
            <w:shd w:val="clear" w:color="auto" w:fill="auto"/>
            <w:vAlign w:val="center"/>
            <w:hideMark/>
          </w:tcPr>
          <w:p w14:paraId="09D70A45"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657,000</w:t>
            </w:r>
          </w:p>
        </w:tc>
        <w:tc>
          <w:tcPr>
            <w:tcW w:w="1714" w:type="dxa"/>
            <w:tcBorders>
              <w:top w:val="nil"/>
              <w:left w:val="nil"/>
              <w:bottom w:val="single" w:sz="4" w:space="0" w:color="auto"/>
              <w:right w:val="single" w:sz="4" w:space="0" w:color="auto"/>
            </w:tcBorders>
            <w:shd w:val="clear" w:color="auto" w:fill="auto"/>
            <w:vAlign w:val="center"/>
            <w:hideMark/>
          </w:tcPr>
          <w:p w14:paraId="19B19FCF"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1,253,500</w:t>
            </w:r>
          </w:p>
        </w:tc>
        <w:tc>
          <w:tcPr>
            <w:tcW w:w="1714" w:type="dxa"/>
            <w:tcBorders>
              <w:top w:val="nil"/>
              <w:left w:val="nil"/>
              <w:bottom w:val="single" w:sz="4" w:space="0" w:color="auto"/>
              <w:right w:val="single" w:sz="8" w:space="0" w:color="auto"/>
            </w:tcBorders>
            <w:shd w:val="clear" w:color="auto" w:fill="auto"/>
            <w:vAlign w:val="center"/>
            <w:hideMark/>
          </w:tcPr>
          <w:p w14:paraId="4E4C7827"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2,507,000</w:t>
            </w:r>
          </w:p>
        </w:tc>
      </w:tr>
      <w:tr w:rsidR="000923A1" w:rsidRPr="006E234B" w14:paraId="23FFF637" w14:textId="77777777" w:rsidTr="00F551B5">
        <w:trPr>
          <w:trHeight w:val="270"/>
          <w:jc w:val="center"/>
        </w:trPr>
        <w:tc>
          <w:tcPr>
            <w:tcW w:w="2829" w:type="dxa"/>
            <w:tcBorders>
              <w:top w:val="nil"/>
              <w:left w:val="single" w:sz="8" w:space="0" w:color="auto"/>
              <w:bottom w:val="single" w:sz="4" w:space="0" w:color="auto"/>
              <w:right w:val="single" w:sz="4" w:space="0" w:color="auto"/>
            </w:tcBorders>
            <w:shd w:val="clear" w:color="000000" w:fill="A6A6A6"/>
            <w:vAlign w:val="center"/>
            <w:hideMark/>
          </w:tcPr>
          <w:p w14:paraId="2F55EFD9" w14:textId="77777777" w:rsidR="000923A1" w:rsidRPr="006E234B" w:rsidRDefault="000923A1" w:rsidP="00F551B5">
            <w:pPr>
              <w:rPr>
                <w:rFonts w:ascii="Calibri" w:hAnsi="Calibri" w:cs="Calibri"/>
                <w:b/>
                <w:bCs/>
                <w:color w:val="000000"/>
                <w:sz w:val="22"/>
                <w:szCs w:val="22"/>
              </w:rPr>
            </w:pPr>
            <w:r w:rsidRPr="006E234B">
              <w:rPr>
                <w:rFonts w:ascii="Calibri" w:hAnsi="Calibri" w:cs="Calibri"/>
                <w:b/>
                <w:bCs/>
                <w:color w:val="000000"/>
                <w:sz w:val="22"/>
                <w:szCs w:val="22"/>
              </w:rPr>
              <w:t> </w:t>
            </w:r>
          </w:p>
        </w:tc>
        <w:tc>
          <w:tcPr>
            <w:tcW w:w="3118" w:type="dxa"/>
            <w:tcBorders>
              <w:top w:val="nil"/>
              <w:left w:val="nil"/>
              <w:bottom w:val="single" w:sz="4" w:space="0" w:color="auto"/>
              <w:right w:val="single" w:sz="4" w:space="0" w:color="auto"/>
            </w:tcBorders>
            <w:shd w:val="clear" w:color="000000" w:fill="A6A6A6"/>
            <w:vAlign w:val="center"/>
            <w:hideMark/>
          </w:tcPr>
          <w:p w14:paraId="0EDF1474"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 </w:t>
            </w:r>
          </w:p>
        </w:tc>
        <w:tc>
          <w:tcPr>
            <w:tcW w:w="1965" w:type="dxa"/>
            <w:tcBorders>
              <w:top w:val="nil"/>
              <w:left w:val="nil"/>
              <w:bottom w:val="single" w:sz="4" w:space="0" w:color="auto"/>
              <w:right w:val="single" w:sz="8" w:space="0" w:color="auto"/>
            </w:tcBorders>
            <w:shd w:val="clear" w:color="000000" w:fill="A6A6A6"/>
            <w:vAlign w:val="center"/>
            <w:hideMark/>
          </w:tcPr>
          <w:p w14:paraId="1F205798"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 </w:t>
            </w:r>
          </w:p>
        </w:tc>
        <w:tc>
          <w:tcPr>
            <w:tcW w:w="1714" w:type="dxa"/>
            <w:tcBorders>
              <w:top w:val="nil"/>
              <w:left w:val="nil"/>
              <w:bottom w:val="single" w:sz="4" w:space="0" w:color="auto"/>
              <w:right w:val="single" w:sz="4" w:space="0" w:color="auto"/>
            </w:tcBorders>
            <w:shd w:val="clear" w:color="000000" w:fill="A6A6A6"/>
            <w:vAlign w:val="center"/>
            <w:hideMark/>
          </w:tcPr>
          <w:p w14:paraId="36CD3790"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 </w:t>
            </w:r>
          </w:p>
        </w:tc>
        <w:tc>
          <w:tcPr>
            <w:tcW w:w="1714" w:type="dxa"/>
            <w:tcBorders>
              <w:top w:val="nil"/>
              <w:left w:val="nil"/>
              <w:bottom w:val="single" w:sz="4" w:space="0" w:color="auto"/>
              <w:right w:val="single" w:sz="8" w:space="0" w:color="auto"/>
            </w:tcBorders>
            <w:shd w:val="clear" w:color="000000" w:fill="A6A6A6"/>
            <w:vAlign w:val="center"/>
            <w:hideMark/>
          </w:tcPr>
          <w:p w14:paraId="79D964E1"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 </w:t>
            </w:r>
          </w:p>
        </w:tc>
      </w:tr>
      <w:tr w:rsidR="000923A1" w:rsidRPr="006E234B" w14:paraId="54A198E5" w14:textId="77777777" w:rsidTr="00F551B5">
        <w:trPr>
          <w:trHeight w:val="600"/>
          <w:jc w:val="center"/>
        </w:trPr>
        <w:tc>
          <w:tcPr>
            <w:tcW w:w="2829" w:type="dxa"/>
            <w:tcBorders>
              <w:top w:val="nil"/>
              <w:left w:val="single" w:sz="8" w:space="0" w:color="auto"/>
              <w:bottom w:val="single" w:sz="4" w:space="0" w:color="auto"/>
              <w:right w:val="single" w:sz="4" w:space="0" w:color="auto"/>
            </w:tcBorders>
            <w:shd w:val="clear" w:color="auto" w:fill="auto"/>
            <w:vAlign w:val="center"/>
            <w:hideMark/>
          </w:tcPr>
          <w:p w14:paraId="2D9553CE" w14:textId="100CA495" w:rsidR="000923A1" w:rsidRPr="006E234B" w:rsidRDefault="004B490B" w:rsidP="00F551B5">
            <w:pPr>
              <w:rPr>
                <w:rFonts w:ascii="Calibri" w:hAnsi="Calibri" w:cs="Calibri"/>
                <w:b/>
                <w:bCs/>
                <w:color w:val="000000"/>
                <w:sz w:val="22"/>
                <w:szCs w:val="22"/>
              </w:rPr>
            </w:pPr>
            <w:r>
              <w:rPr>
                <w:rFonts w:ascii="Calibri" w:hAnsi="Calibri" w:cs="Calibri"/>
                <w:b/>
                <w:bCs/>
                <w:color w:val="000000"/>
                <w:sz w:val="22"/>
                <w:szCs w:val="22"/>
              </w:rPr>
              <w:t>Scheme Advancement</w:t>
            </w:r>
          </w:p>
        </w:tc>
        <w:tc>
          <w:tcPr>
            <w:tcW w:w="3118" w:type="dxa"/>
            <w:tcBorders>
              <w:top w:val="nil"/>
              <w:left w:val="nil"/>
              <w:bottom w:val="single" w:sz="4" w:space="0" w:color="auto"/>
              <w:right w:val="single" w:sz="4" w:space="0" w:color="auto"/>
            </w:tcBorders>
            <w:shd w:val="clear" w:color="auto" w:fill="auto"/>
            <w:vAlign w:val="center"/>
            <w:hideMark/>
          </w:tcPr>
          <w:p w14:paraId="54BCC5AD" w14:textId="77777777" w:rsidR="000923A1" w:rsidRPr="006E234B" w:rsidRDefault="000923A1" w:rsidP="00F551B5">
            <w:pPr>
              <w:rPr>
                <w:rFonts w:ascii="Calibri" w:hAnsi="Calibri" w:cs="Calibri"/>
                <w:color w:val="000000"/>
                <w:sz w:val="22"/>
                <w:szCs w:val="22"/>
              </w:rPr>
            </w:pPr>
            <w:r w:rsidRPr="006E234B">
              <w:rPr>
                <w:rFonts w:ascii="Calibri" w:hAnsi="Calibri" w:cs="Calibri"/>
                <w:color w:val="000000"/>
                <w:sz w:val="22"/>
                <w:szCs w:val="22"/>
              </w:rPr>
              <w:t> </w:t>
            </w:r>
          </w:p>
        </w:tc>
        <w:tc>
          <w:tcPr>
            <w:tcW w:w="1965" w:type="dxa"/>
            <w:tcBorders>
              <w:top w:val="nil"/>
              <w:left w:val="nil"/>
              <w:bottom w:val="single" w:sz="4" w:space="0" w:color="auto"/>
              <w:right w:val="single" w:sz="8" w:space="0" w:color="auto"/>
            </w:tcBorders>
            <w:shd w:val="clear" w:color="auto" w:fill="auto"/>
            <w:vAlign w:val="center"/>
            <w:hideMark/>
          </w:tcPr>
          <w:p w14:paraId="68F84E65"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20,112,000</w:t>
            </w:r>
          </w:p>
        </w:tc>
        <w:tc>
          <w:tcPr>
            <w:tcW w:w="1714" w:type="dxa"/>
            <w:tcBorders>
              <w:top w:val="nil"/>
              <w:left w:val="nil"/>
              <w:bottom w:val="single" w:sz="4" w:space="0" w:color="auto"/>
              <w:right w:val="single" w:sz="4" w:space="0" w:color="auto"/>
            </w:tcBorders>
            <w:shd w:val="clear" w:color="auto" w:fill="auto"/>
            <w:vAlign w:val="center"/>
            <w:hideMark/>
          </w:tcPr>
          <w:p w14:paraId="18E45CA6"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24,557,308</w:t>
            </w:r>
          </w:p>
        </w:tc>
        <w:tc>
          <w:tcPr>
            <w:tcW w:w="1714" w:type="dxa"/>
            <w:tcBorders>
              <w:top w:val="nil"/>
              <w:left w:val="nil"/>
              <w:bottom w:val="single" w:sz="4" w:space="0" w:color="auto"/>
              <w:right w:val="single" w:sz="8" w:space="0" w:color="auto"/>
            </w:tcBorders>
            <w:shd w:val="clear" w:color="auto" w:fill="auto"/>
            <w:vAlign w:val="center"/>
            <w:hideMark/>
          </w:tcPr>
          <w:p w14:paraId="0BC30B9F" w14:textId="77777777" w:rsidR="000923A1" w:rsidRPr="006E234B" w:rsidRDefault="000923A1" w:rsidP="00F551B5">
            <w:pPr>
              <w:jc w:val="right"/>
              <w:rPr>
                <w:rFonts w:ascii="Calibri" w:hAnsi="Calibri" w:cs="Calibri"/>
                <w:color w:val="000000"/>
                <w:sz w:val="22"/>
                <w:szCs w:val="22"/>
              </w:rPr>
            </w:pPr>
            <w:r w:rsidRPr="006E234B">
              <w:rPr>
                <w:rFonts w:ascii="Calibri" w:hAnsi="Calibri" w:cs="Calibri"/>
                <w:color w:val="000000"/>
                <w:sz w:val="22"/>
                <w:szCs w:val="22"/>
              </w:rPr>
              <w:t>94,391,308</w:t>
            </w:r>
          </w:p>
        </w:tc>
      </w:tr>
      <w:tr w:rsidR="000923A1" w:rsidRPr="006E234B" w14:paraId="5B9A4BDB" w14:textId="77777777" w:rsidTr="00F551B5">
        <w:trPr>
          <w:trHeight w:val="600"/>
          <w:jc w:val="center"/>
        </w:trPr>
        <w:tc>
          <w:tcPr>
            <w:tcW w:w="2829" w:type="dxa"/>
            <w:tcBorders>
              <w:top w:val="nil"/>
              <w:left w:val="single" w:sz="8" w:space="0" w:color="auto"/>
              <w:bottom w:val="single" w:sz="8" w:space="0" w:color="auto"/>
              <w:right w:val="single" w:sz="4" w:space="0" w:color="auto"/>
            </w:tcBorders>
            <w:shd w:val="clear" w:color="auto" w:fill="auto"/>
            <w:vAlign w:val="center"/>
            <w:hideMark/>
          </w:tcPr>
          <w:p w14:paraId="095C356A" w14:textId="6DDBC2EF" w:rsidR="000923A1" w:rsidRPr="006E234B" w:rsidRDefault="000923A1" w:rsidP="00F551B5">
            <w:pPr>
              <w:rPr>
                <w:rFonts w:ascii="Calibri" w:hAnsi="Calibri" w:cs="Calibri"/>
                <w:b/>
                <w:bCs/>
                <w:color w:val="000000"/>
                <w:sz w:val="28"/>
                <w:szCs w:val="28"/>
              </w:rPr>
            </w:pPr>
            <w:r w:rsidRPr="006E234B">
              <w:rPr>
                <w:rFonts w:ascii="Calibri" w:hAnsi="Calibri" w:cs="Calibri"/>
                <w:b/>
                <w:bCs/>
                <w:color w:val="000000"/>
                <w:sz w:val="28"/>
                <w:szCs w:val="28"/>
              </w:rPr>
              <w:t> </w:t>
            </w:r>
            <w:r w:rsidR="00E97ABA" w:rsidRPr="00E97ABA">
              <w:rPr>
                <w:rFonts w:ascii="Calibri" w:hAnsi="Calibri" w:cs="Calibri"/>
                <w:b/>
                <w:bCs/>
                <w:color w:val="000000"/>
                <w:sz w:val="28"/>
                <w:szCs w:val="28"/>
              </w:rPr>
              <w:t>Totals</w:t>
            </w:r>
          </w:p>
        </w:tc>
        <w:tc>
          <w:tcPr>
            <w:tcW w:w="3118" w:type="dxa"/>
            <w:tcBorders>
              <w:top w:val="nil"/>
              <w:left w:val="nil"/>
              <w:bottom w:val="single" w:sz="8" w:space="0" w:color="auto"/>
              <w:right w:val="single" w:sz="4" w:space="0" w:color="auto"/>
            </w:tcBorders>
            <w:shd w:val="clear" w:color="auto" w:fill="auto"/>
            <w:vAlign w:val="center"/>
            <w:hideMark/>
          </w:tcPr>
          <w:p w14:paraId="3179EC31" w14:textId="24C98AC5" w:rsidR="000923A1" w:rsidRPr="006E234B" w:rsidRDefault="000923A1" w:rsidP="00F551B5">
            <w:pPr>
              <w:rPr>
                <w:rFonts w:ascii="Calibri" w:hAnsi="Calibri" w:cs="Calibri"/>
                <w:b/>
                <w:bCs/>
                <w:color w:val="000000"/>
                <w:sz w:val="28"/>
                <w:szCs w:val="28"/>
              </w:rPr>
            </w:pPr>
          </w:p>
        </w:tc>
        <w:tc>
          <w:tcPr>
            <w:tcW w:w="1965" w:type="dxa"/>
            <w:tcBorders>
              <w:top w:val="nil"/>
              <w:left w:val="nil"/>
              <w:bottom w:val="single" w:sz="8" w:space="0" w:color="auto"/>
              <w:right w:val="single" w:sz="8" w:space="0" w:color="auto"/>
            </w:tcBorders>
            <w:shd w:val="clear" w:color="auto" w:fill="auto"/>
            <w:vAlign w:val="center"/>
            <w:hideMark/>
          </w:tcPr>
          <w:p w14:paraId="2D66CE9F" w14:textId="77777777" w:rsidR="000923A1" w:rsidRPr="006E234B" w:rsidRDefault="000923A1" w:rsidP="00F551B5">
            <w:pPr>
              <w:jc w:val="right"/>
              <w:rPr>
                <w:rFonts w:ascii="Calibri" w:hAnsi="Calibri" w:cs="Calibri"/>
                <w:b/>
                <w:bCs/>
                <w:color w:val="000000"/>
                <w:sz w:val="28"/>
                <w:szCs w:val="28"/>
              </w:rPr>
            </w:pPr>
            <w:r w:rsidRPr="006E234B">
              <w:rPr>
                <w:rFonts w:ascii="Calibri" w:hAnsi="Calibri" w:cs="Calibri"/>
                <w:b/>
                <w:bCs/>
                <w:color w:val="000000"/>
                <w:sz w:val="28"/>
                <w:szCs w:val="28"/>
              </w:rPr>
              <w:t>32,494,000</w:t>
            </w:r>
          </w:p>
        </w:tc>
        <w:tc>
          <w:tcPr>
            <w:tcW w:w="1714" w:type="dxa"/>
            <w:tcBorders>
              <w:top w:val="nil"/>
              <w:left w:val="nil"/>
              <w:bottom w:val="single" w:sz="8" w:space="0" w:color="auto"/>
              <w:right w:val="single" w:sz="4" w:space="0" w:color="auto"/>
            </w:tcBorders>
            <w:shd w:val="clear" w:color="auto" w:fill="auto"/>
            <w:vAlign w:val="center"/>
            <w:hideMark/>
          </w:tcPr>
          <w:p w14:paraId="5C1173CA" w14:textId="77777777" w:rsidR="000923A1" w:rsidRPr="006E234B" w:rsidRDefault="000923A1" w:rsidP="00F551B5">
            <w:pPr>
              <w:jc w:val="right"/>
              <w:rPr>
                <w:rFonts w:ascii="Calibri" w:hAnsi="Calibri" w:cs="Calibri"/>
                <w:b/>
                <w:bCs/>
                <w:color w:val="000000"/>
                <w:sz w:val="28"/>
                <w:szCs w:val="28"/>
              </w:rPr>
            </w:pPr>
            <w:r w:rsidRPr="006E234B">
              <w:rPr>
                <w:rFonts w:ascii="Calibri" w:hAnsi="Calibri" w:cs="Calibri"/>
                <w:b/>
                <w:bCs/>
                <w:color w:val="000000"/>
                <w:sz w:val="28"/>
                <w:szCs w:val="28"/>
              </w:rPr>
              <w:t>74,500,808</w:t>
            </w:r>
          </w:p>
        </w:tc>
        <w:tc>
          <w:tcPr>
            <w:tcW w:w="1714" w:type="dxa"/>
            <w:tcBorders>
              <w:top w:val="nil"/>
              <w:left w:val="nil"/>
              <w:bottom w:val="single" w:sz="8" w:space="0" w:color="auto"/>
              <w:right w:val="single" w:sz="8" w:space="0" w:color="auto"/>
            </w:tcBorders>
            <w:shd w:val="clear" w:color="auto" w:fill="auto"/>
            <w:vAlign w:val="center"/>
            <w:hideMark/>
          </w:tcPr>
          <w:p w14:paraId="2493F7E8" w14:textId="77777777" w:rsidR="000923A1" w:rsidRPr="006E234B" w:rsidRDefault="000923A1" w:rsidP="00F551B5">
            <w:pPr>
              <w:jc w:val="right"/>
              <w:rPr>
                <w:rFonts w:ascii="Calibri" w:hAnsi="Calibri" w:cs="Calibri"/>
                <w:b/>
                <w:bCs/>
                <w:color w:val="000000"/>
                <w:sz w:val="28"/>
                <w:szCs w:val="28"/>
              </w:rPr>
            </w:pPr>
            <w:r w:rsidRPr="006E234B">
              <w:rPr>
                <w:rFonts w:ascii="Calibri" w:hAnsi="Calibri" w:cs="Calibri"/>
                <w:b/>
                <w:bCs/>
                <w:color w:val="000000"/>
                <w:sz w:val="28"/>
                <w:szCs w:val="28"/>
              </w:rPr>
              <w:t>274,048,308</w:t>
            </w:r>
          </w:p>
        </w:tc>
      </w:tr>
    </w:tbl>
    <w:p w14:paraId="495D02D3" w14:textId="77777777" w:rsidR="001C53F6" w:rsidRPr="000923A1" w:rsidRDefault="001C53F6" w:rsidP="000923A1">
      <w:pPr>
        <w:pStyle w:val="ReportPara"/>
        <w:numPr>
          <w:ilvl w:val="0"/>
          <w:numId w:val="0"/>
        </w:numPr>
        <w:spacing w:after="0"/>
        <w:ind w:left="502"/>
        <w:jc w:val="both"/>
        <w:rPr>
          <w:rFonts w:ascii="Arial" w:hAnsi="Arial" w:cs="Arial"/>
          <w:b/>
          <w:sz w:val="22"/>
          <w:szCs w:val="22"/>
        </w:rPr>
      </w:pPr>
      <w:r w:rsidRPr="000923A1">
        <w:rPr>
          <w:rFonts w:ascii="Arial" w:hAnsi="Arial" w:cs="Arial"/>
          <w:b/>
          <w:sz w:val="22"/>
          <w:szCs w:val="22"/>
        </w:rPr>
        <w:br w:type="page"/>
      </w:r>
    </w:p>
    <w:p w14:paraId="10423292" w14:textId="77777777" w:rsidR="001C53F6" w:rsidRDefault="001C53F6" w:rsidP="001C53F6">
      <w:pPr>
        <w:pStyle w:val="ReportPara"/>
        <w:numPr>
          <w:ilvl w:val="0"/>
          <w:numId w:val="0"/>
        </w:numPr>
        <w:spacing w:after="0"/>
        <w:ind w:left="502"/>
        <w:jc w:val="both"/>
        <w:rPr>
          <w:rFonts w:ascii="Arial" w:hAnsi="Arial" w:cs="Arial"/>
          <w:sz w:val="22"/>
          <w:szCs w:val="22"/>
        </w:rPr>
      </w:pPr>
    </w:p>
    <w:p w14:paraId="569ABD51" w14:textId="6B5D66CE" w:rsidR="001C53F6" w:rsidRPr="001C53F6" w:rsidRDefault="003A1C88" w:rsidP="003A1C88">
      <w:pPr>
        <w:pStyle w:val="ReportPara"/>
        <w:numPr>
          <w:ilvl w:val="0"/>
          <w:numId w:val="0"/>
        </w:numPr>
        <w:spacing w:after="0"/>
        <w:ind w:left="-709"/>
        <w:jc w:val="both"/>
        <w:rPr>
          <w:rFonts w:ascii="Arial" w:hAnsi="Arial" w:cs="Arial"/>
          <w:b/>
          <w:sz w:val="22"/>
          <w:szCs w:val="22"/>
        </w:rPr>
      </w:pPr>
      <w:r w:rsidRPr="001C53F6">
        <w:rPr>
          <w:rFonts w:ascii="Arial" w:hAnsi="Arial" w:cs="Arial"/>
          <w:b/>
          <w:sz w:val="22"/>
          <w:szCs w:val="22"/>
        </w:rPr>
        <w:t>APPENDIX TWO</w:t>
      </w:r>
      <w:r>
        <w:rPr>
          <w:rFonts w:ascii="Arial" w:hAnsi="Arial" w:cs="Arial"/>
          <w:b/>
          <w:sz w:val="22"/>
          <w:szCs w:val="22"/>
        </w:rPr>
        <w:t>:</w:t>
      </w:r>
      <w:bookmarkStart w:id="2" w:name="_GoBack"/>
      <w:bookmarkEnd w:id="2"/>
      <w:r>
        <w:rPr>
          <w:rFonts w:ascii="Arial" w:hAnsi="Arial" w:cs="Arial"/>
          <w:b/>
          <w:sz w:val="22"/>
          <w:szCs w:val="22"/>
        </w:rPr>
        <w:t xml:space="preserve"> YEAR ONE AFFORDABLE HOUSING PROGRAMME </w:t>
      </w:r>
    </w:p>
    <w:p w14:paraId="095DA1B3" w14:textId="77777777" w:rsidR="001C53F6" w:rsidRDefault="001C53F6" w:rsidP="001C53F6">
      <w:pPr>
        <w:pStyle w:val="ReportPara"/>
        <w:numPr>
          <w:ilvl w:val="0"/>
          <w:numId w:val="0"/>
        </w:numPr>
        <w:spacing w:after="0"/>
        <w:ind w:left="502"/>
        <w:jc w:val="both"/>
        <w:rPr>
          <w:rFonts w:ascii="Arial" w:hAnsi="Arial" w:cs="Arial"/>
          <w:sz w:val="22"/>
          <w:szCs w:val="22"/>
        </w:rPr>
      </w:pPr>
    </w:p>
    <w:tbl>
      <w:tblPr>
        <w:tblStyle w:val="TableGrid"/>
        <w:tblW w:w="0" w:type="auto"/>
        <w:tblInd w:w="502" w:type="dxa"/>
        <w:tblLook w:val="04A0" w:firstRow="1" w:lastRow="0" w:firstColumn="1" w:lastColumn="0" w:noHBand="0" w:noVBand="1"/>
      </w:tblPr>
      <w:tblGrid>
        <w:gridCol w:w="2016"/>
        <w:gridCol w:w="1248"/>
        <w:gridCol w:w="1729"/>
        <w:gridCol w:w="1503"/>
        <w:gridCol w:w="1577"/>
      </w:tblGrid>
      <w:tr w:rsidR="001C53F6" w14:paraId="58B8255B" w14:textId="77777777" w:rsidTr="001C53F6">
        <w:tc>
          <w:tcPr>
            <w:tcW w:w="2016" w:type="dxa"/>
            <w:shd w:val="clear" w:color="auto" w:fill="D9D9D9" w:themeFill="background1" w:themeFillShade="D9"/>
          </w:tcPr>
          <w:p w14:paraId="6810F843" w14:textId="77777777" w:rsidR="001C53F6" w:rsidRPr="001C53F6" w:rsidRDefault="001C53F6" w:rsidP="001C53F6">
            <w:pPr>
              <w:pStyle w:val="ReportPara"/>
              <w:numPr>
                <w:ilvl w:val="0"/>
                <w:numId w:val="0"/>
              </w:numPr>
              <w:spacing w:after="0"/>
              <w:jc w:val="center"/>
              <w:rPr>
                <w:rFonts w:ascii="Arial" w:hAnsi="Arial" w:cs="Arial"/>
                <w:b/>
                <w:sz w:val="22"/>
                <w:szCs w:val="22"/>
              </w:rPr>
            </w:pPr>
            <w:r w:rsidRPr="001C53F6">
              <w:rPr>
                <w:rFonts w:ascii="Arial" w:hAnsi="Arial" w:cs="Arial"/>
                <w:b/>
                <w:sz w:val="22"/>
                <w:szCs w:val="22"/>
              </w:rPr>
              <w:t>Council</w:t>
            </w:r>
          </w:p>
        </w:tc>
        <w:tc>
          <w:tcPr>
            <w:tcW w:w="1248" w:type="dxa"/>
            <w:shd w:val="clear" w:color="auto" w:fill="D9D9D9" w:themeFill="background1" w:themeFillShade="D9"/>
          </w:tcPr>
          <w:p w14:paraId="6E1110EE" w14:textId="77777777" w:rsidR="001C53F6" w:rsidRPr="001C53F6" w:rsidRDefault="001C53F6" w:rsidP="001C53F6">
            <w:pPr>
              <w:pStyle w:val="ReportPara"/>
              <w:numPr>
                <w:ilvl w:val="0"/>
                <w:numId w:val="0"/>
              </w:numPr>
              <w:spacing w:after="0"/>
              <w:jc w:val="center"/>
              <w:rPr>
                <w:rFonts w:ascii="Arial" w:hAnsi="Arial" w:cs="Arial"/>
                <w:b/>
                <w:sz w:val="22"/>
                <w:szCs w:val="22"/>
              </w:rPr>
            </w:pPr>
            <w:r w:rsidRPr="001C53F6">
              <w:rPr>
                <w:rFonts w:ascii="Arial" w:hAnsi="Arial" w:cs="Arial"/>
                <w:b/>
                <w:sz w:val="22"/>
                <w:szCs w:val="22"/>
              </w:rPr>
              <w:t>Rented</w:t>
            </w:r>
          </w:p>
        </w:tc>
        <w:tc>
          <w:tcPr>
            <w:tcW w:w="1729" w:type="dxa"/>
            <w:shd w:val="clear" w:color="auto" w:fill="D9D9D9" w:themeFill="background1" w:themeFillShade="D9"/>
          </w:tcPr>
          <w:p w14:paraId="1FC37E90" w14:textId="77777777" w:rsidR="001C53F6" w:rsidRPr="001C53F6" w:rsidRDefault="001C53F6" w:rsidP="001C53F6">
            <w:pPr>
              <w:pStyle w:val="ReportPara"/>
              <w:numPr>
                <w:ilvl w:val="0"/>
                <w:numId w:val="0"/>
              </w:numPr>
              <w:spacing w:after="0"/>
              <w:jc w:val="center"/>
              <w:rPr>
                <w:rFonts w:ascii="Arial" w:hAnsi="Arial" w:cs="Arial"/>
                <w:b/>
                <w:sz w:val="22"/>
                <w:szCs w:val="22"/>
              </w:rPr>
            </w:pPr>
            <w:r w:rsidRPr="001C53F6">
              <w:rPr>
                <w:rFonts w:ascii="Arial" w:hAnsi="Arial" w:cs="Arial"/>
                <w:b/>
                <w:sz w:val="22"/>
                <w:szCs w:val="22"/>
              </w:rPr>
              <w:t>Low cost home ownership</w:t>
            </w:r>
          </w:p>
        </w:tc>
        <w:tc>
          <w:tcPr>
            <w:tcW w:w="1503" w:type="dxa"/>
            <w:shd w:val="clear" w:color="auto" w:fill="D9D9D9" w:themeFill="background1" w:themeFillShade="D9"/>
          </w:tcPr>
          <w:p w14:paraId="29DB16C8" w14:textId="77777777" w:rsidR="001C53F6" w:rsidRPr="001C53F6" w:rsidRDefault="001C53F6" w:rsidP="001C53F6">
            <w:pPr>
              <w:pStyle w:val="ReportPara"/>
              <w:numPr>
                <w:ilvl w:val="0"/>
                <w:numId w:val="0"/>
              </w:numPr>
              <w:spacing w:after="0"/>
              <w:jc w:val="center"/>
              <w:rPr>
                <w:rFonts w:ascii="Arial" w:hAnsi="Arial" w:cs="Arial"/>
                <w:b/>
                <w:sz w:val="22"/>
                <w:szCs w:val="22"/>
              </w:rPr>
            </w:pPr>
            <w:r w:rsidRPr="001C53F6">
              <w:rPr>
                <w:rFonts w:ascii="Arial" w:hAnsi="Arial" w:cs="Arial"/>
                <w:b/>
                <w:sz w:val="22"/>
                <w:szCs w:val="22"/>
              </w:rPr>
              <w:t>Total units</w:t>
            </w:r>
          </w:p>
        </w:tc>
        <w:tc>
          <w:tcPr>
            <w:tcW w:w="1577" w:type="dxa"/>
            <w:shd w:val="clear" w:color="auto" w:fill="D9D9D9" w:themeFill="background1" w:themeFillShade="D9"/>
          </w:tcPr>
          <w:p w14:paraId="5505C089" w14:textId="77777777" w:rsidR="001C53F6" w:rsidRPr="001C53F6" w:rsidRDefault="001C53F6" w:rsidP="001C53F6">
            <w:pPr>
              <w:pStyle w:val="ReportPara"/>
              <w:numPr>
                <w:ilvl w:val="0"/>
                <w:numId w:val="0"/>
              </w:numPr>
              <w:spacing w:after="0"/>
              <w:jc w:val="center"/>
              <w:rPr>
                <w:rFonts w:ascii="Arial" w:hAnsi="Arial" w:cs="Arial"/>
                <w:b/>
                <w:sz w:val="22"/>
                <w:szCs w:val="22"/>
              </w:rPr>
            </w:pPr>
            <w:r w:rsidRPr="001C53F6">
              <w:rPr>
                <w:rFonts w:ascii="Arial" w:hAnsi="Arial" w:cs="Arial"/>
                <w:b/>
                <w:sz w:val="22"/>
                <w:szCs w:val="22"/>
              </w:rPr>
              <w:t>Cost</w:t>
            </w:r>
          </w:p>
        </w:tc>
      </w:tr>
      <w:tr w:rsidR="001C53F6" w14:paraId="41369834" w14:textId="77777777" w:rsidTr="001C53F6">
        <w:tc>
          <w:tcPr>
            <w:tcW w:w="2016" w:type="dxa"/>
          </w:tcPr>
          <w:p w14:paraId="2B7DE8E1"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Cherwell</w:t>
            </w:r>
          </w:p>
        </w:tc>
        <w:tc>
          <w:tcPr>
            <w:tcW w:w="1248" w:type="dxa"/>
          </w:tcPr>
          <w:p w14:paraId="185BCAE5"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18</w:t>
            </w:r>
          </w:p>
        </w:tc>
        <w:tc>
          <w:tcPr>
            <w:tcW w:w="1729" w:type="dxa"/>
          </w:tcPr>
          <w:p w14:paraId="14836DCA"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19</w:t>
            </w:r>
          </w:p>
        </w:tc>
        <w:tc>
          <w:tcPr>
            <w:tcW w:w="1503" w:type="dxa"/>
          </w:tcPr>
          <w:p w14:paraId="11179383"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37</w:t>
            </w:r>
          </w:p>
        </w:tc>
        <w:tc>
          <w:tcPr>
            <w:tcW w:w="1577" w:type="dxa"/>
          </w:tcPr>
          <w:p w14:paraId="5082B3BF"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£1.285m</w:t>
            </w:r>
          </w:p>
        </w:tc>
      </w:tr>
      <w:tr w:rsidR="001C53F6" w14:paraId="0266DF57" w14:textId="77777777" w:rsidTr="001C53F6">
        <w:tc>
          <w:tcPr>
            <w:tcW w:w="2016" w:type="dxa"/>
          </w:tcPr>
          <w:p w14:paraId="6679D95B"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Oxford</w:t>
            </w:r>
          </w:p>
        </w:tc>
        <w:tc>
          <w:tcPr>
            <w:tcW w:w="1248" w:type="dxa"/>
          </w:tcPr>
          <w:p w14:paraId="6B94696C"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80</w:t>
            </w:r>
          </w:p>
        </w:tc>
        <w:tc>
          <w:tcPr>
            <w:tcW w:w="1729" w:type="dxa"/>
          </w:tcPr>
          <w:p w14:paraId="379D4D9E"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18</w:t>
            </w:r>
          </w:p>
        </w:tc>
        <w:tc>
          <w:tcPr>
            <w:tcW w:w="1503" w:type="dxa"/>
          </w:tcPr>
          <w:p w14:paraId="28B78A21"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98</w:t>
            </w:r>
          </w:p>
        </w:tc>
        <w:tc>
          <w:tcPr>
            <w:tcW w:w="1577" w:type="dxa"/>
          </w:tcPr>
          <w:p w14:paraId="243AE4C3"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£4.69m</w:t>
            </w:r>
          </w:p>
        </w:tc>
      </w:tr>
      <w:tr w:rsidR="001C53F6" w14:paraId="488BF83E" w14:textId="77777777" w:rsidTr="001C53F6">
        <w:tc>
          <w:tcPr>
            <w:tcW w:w="2016" w:type="dxa"/>
          </w:tcPr>
          <w:p w14:paraId="3F92BF8F"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South Oxfordshire</w:t>
            </w:r>
          </w:p>
        </w:tc>
        <w:tc>
          <w:tcPr>
            <w:tcW w:w="1248" w:type="dxa"/>
          </w:tcPr>
          <w:p w14:paraId="7BCB9834"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1</w:t>
            </w:r>
          </w:p>
        </w:tc>
        <w:tc>
          <w:tcPr>
            <w:tcW w:w="1729" w:type="dxa"/>
          </w:tcPr>
          <w:p w14:paraId="4C9B1021"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5</w:t>
            </w:r>
          </w:p>
        </w:tc>
        <w:tc>
          <w:tcPr>
            <w:tcW w:w="1503" w:type="dxa"/>
          </w:tcPr>
          <w:p w14:paraId="73C6AAF6"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6</w:t>
            </w:r>
          </w:p>
        </w:tc>
        <w:tc>
          <w:tcPr>
            <w:tcW w:w="1577" w:type="dxa"/>
          </w:tcPr>
          <w:p w14:paraId="27998B91"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£0.18m</w:t>
            </w:r>
          </w:p>
        </w:tc>
      </w:tr>
      <w:tr w:rsidR="001C53F6" w14:paraId="49FB09BE" w14:textId="77777777" w:rsidTr="001C53F6">
        <w:tc>
          <w:tcPr>
            <w:tcW w:w="2016" w:type="dxa"/>
          </w:tcPr>
          <w:p w14:paraId="3CBF2FB3"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Vale of White Horse</w:t>
            </w:r>
          </w:p>
        </w:tc>
        <w:tc>
          <w:tcPr>
            <w:tcW w:w="1248" w:type="dxa"/>
          </w:tcPr>
          <w:p w14:paraId="0D95C351" w14:textId="77777777" w:rsidR="001C53F6" w:rsidRDefault="001C53F6" w:rsidP="001C53F6">
            <w:pPr>
              <w:pStyle w:val="ReportPara"/>
              <w:numPr>
                <w:ilvl w:val="0"/>
                <w:numId w:val="0"/>
              </w:numPr>
              <w:spacing w:after="0"/>
              <w:jc w:val="center"/>
              <w:rPr>
                <w:rFonts w:ascii="Arial" w:hAnsi="Arial" w:cs="Arial"/>
                <w:sz w:val="22"/>
                <w:szCs w:val="22"/>
              </w:rPr>
            </w:pPr>
          </w:p>
          <w:p w14:paraId="4572B35F"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4</w:t>
            </w:r>
          </w:p>
        </w:tc>
        <w:tc>
          <w:tcPr>
            <w:tcW w:w="1729" w:type="dxa"/>
          </w:tcPr>
          <w:p w14:paraId="5C581F26" w14:textId="77777777" w:rsidR="001C53F6" w:rsidRDefault="001C53F6" w:rsidP="001C53F6">
            <w:pPr>
              <w:pStyle w:val="ReportPara"/>
              <w:numPr>
                <w:ilvl w:val="0"/>
                <w:numId w:val="0"/>
              </w:numPr>
              <w:spacing w:after="0"/>
              <w:jc w:val="center"/>
              <w:rPr>
                <w:rFonts w:ascii="Arial" w:hAnsi="Arial" w:cs="Arial"/>
                <w:sz w:val="22"/>
                <w:szCs w:val="22"/>
              </w:rPr>
            </w:pPr>
          </w:p>
          <w:p w14:paraId="3BAFD444"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2</w:t>
            </w:r>
          </w:p>
        </w:tc>
        <w:tc>
          <w:tcPr>
            <w:tcW w:w="1503" w:type="dxa"/>
          </w:tcPr>
          <w:p w14:paraId="636EF7E9" w14:textId="77777777" w:rsidR="001C53F6" w:rsidRDefault="001C53F6" w:rsidP="001C53F6">
            <w:pPr>
              <w:pStyle w:val="ReportPara"/>
              <w:numPr>
                <w:ilvl w:val="0"/>
                <w:numId w:val="0"/>
              </w:numPr>
              <w:spacing w:after="0"/>
              <w:jc w:val="center"/>
              <w:rPr>
                <w:rFonts w:ascii="Arial" w:hAnsi="Arial" w:cs="Arial"/>
                <w:sz w:val="22"/>
                <w:szCs w:val="22"/>
              </w:rPr>
            </w:pPr>
          </w:p>
          <w:p w14:paraId="3329A33A"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6</w:t>
            </w:r>
          </w:p>
        </w:tc>
        <w:tc>
          <w:tcPr>
            <w:tcW w:w="1577" w:type="dxa"/>
          </w:tcPr>
          <w:p w14:paraId="5F67AC07" w14:textId="77777777" w:rsidR="001C53F6" w:rsidRDefault="001C53F6" w:rsidP="001C53F6">
            <w:pPr>
              <w:pStyle w:val="ReportPara"/>
              <w:numPr>
                <w:ilvl w:val="0"/>
                <w:numId w:val="0"/>
              </w:numPr>
              <w:spacing w:after="0"/>
              <w:jc w:val="both"/>
              <w:rPr>
                <w:rFonts w:ascii="Arial" w:hAnsi="Arial" w:cs="Arial"/>
                <w:sz w:val="22"/>
                <w:szCs w:val="22"/>
              </w:rPr>
            </w:pPr>
          </w:p>
          <w:p w14:paraId="273F7F15"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£0.23m</w:t>
            </w:r>
          </w:p>
        </w:tc>
      </w:tr>
      <w:tr w:rsidR="001C53F6" w14:paraId="50F332FE" w14:textId="77777777" w:rsidTr="001C53F6">
        <w:tc>
          <w:tcPr>
            <w:tcW w:w="2016" w:type="dxa"/>
          </w:tcPr>
          <w:p w14:paraId="3EB191F2"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West Oxfordshire</w:t>
            </w:r>
          </w:p>
        </w:tc>
        <w:tc>
          <w:tcPr>
            <w:tcW w:w="1248" w:type="dxa"/>
          </w:tcPr>
          <w:p w14:paraId="3D38B52D"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48</w:t>
            </w:r>
          </w:p>
        </w:tc>
        <w:tc>
          <w:tcPr>
            <w:tcW w:w="1729" w:type="dxa"/>
          </w:tcPr>
          <w:p w14:paraId="438B4508"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34</w:t>
            </w:r>
          </w:p>
        </w:tc>
        <w:tc>
          <w:tcPr>
            <w:tcW w:w="1503" w:type="dxa"/>
          </w:tcPr>
          <w:p w14:paraId="50E41AE6" w14:textId="77777777" w:rsidR="001C53F6" w:rsidRDefault="001C53F6" w:rsidP="001C53F6">
            <w:pPr>
              <w:pStyle w:val="ReportPara"/>
              <w:numPr>
                <w:ilvl w:val="0"/>
                <w:numId w:val="0"/>
              </w:numPr>
              <w:spacing w:after="0"/>
              <w:jc w:val="center"/>
              <w:rPr>
                <w:rFonts w:ascii="Arial" w:hAnsi="Arial" w:cs="Arial"/>
                <w:sz w:val="22"/>
                <w:szCs w:val="22"/>
              </w:rPr>
            </w:pPr>
            <w:r>
              <w:rPr>
                <w:rFonts w:ascii="Arial" w:hAnsi="Arial" w:cs="Arial"/>
                <w:sz w:val="22"/>
                <w:szCs w:val="22"/>
              </w:rPr>
              <w:t>82</w:t>
            </w:r>
          </w:p>
        </w:tc>
        <w:tc>
          <w:tcPr>
            <w:tcW w:w="1577" w:type="dxa"/>
          </w:tcPr>
          <w:p w14:paraId="59E8BEF9" w14:textId="77777777" w:rsidR="001C53F6" w:rsidRDefault="001C53F6" w:rsidP="001C53F6">
            <w:pPr>
              <w:pStyle w:val="ReportPara"/>
              <w:numPr>
                <w:ilvl w:val="0"/>
                <w:numId w:val="0"/>
              </w:numPr>
              <w:spacing w:after="0"/>
              <w:jc w:val="both"/>
              <w:rPr>
                <w:rFonts w:ascii="Arial" w:hAnsi="Arial" w:cs="Arial"/>
                <w:sz w:val="22"/>
                <w:szCs w:val="22"/>
              </w:rPr>
            </w:pPr>
            <w:r>
              <w:rPr>
                <w:rFonts w:ascii="Arial" w:hAnsi="Arial" w:cs="Arial"/>
                <w:sz w:val="22"/>
                <w:szCs w:val="22"/>
              </w:rPr>
              <w:t>£2.05m</w:t>
            </w:r>
          </w:p>
        </w:tc>
      </w:tr>
      <w:tr w:rsidR="001C53F6" w14:paraId="2137853B" w14:textId="77777777" w:rsidTr="001C53F6">
        <w:tc>
          <w:tcPr>
            <w:tcW w:w="2016" w:type="dxa"/>
          </w:tcPr>
          <w:p w14:paraId="1CF820A1" w14:textId="77777777" w:rsidR="001C53F6" w:rsidRPr="001C53F6" w:rsidRDefault="001C53F6" w:rsidP="001C53F6">
            <w:pPr>
              <w:pStyle w:val="ReportPara"/>
              <w:numPr>
                <w:ilvl w:val="0"/>
                <w:numId w:val="0"/>
              </w:numPr>
              <w:spacing w:after="0"/>
              <w:jc w:val="both"/>
              <w:rPr>
                <w:rFonts w:ascii="Arial" w:hAnsi="Arial" w:cs="Arial"/>
                <w:b/>
                <w:sz w:val="22"/>
                <w:szCs w:val="22"/>
              </w:rPr>
            </w:pPr>
            <w:r w:rsidRPr="001C53F6">
              <w:rPr>
                <w:rFonts w:ascii="Arial" w:hAnsi="Arial" w:cs="Arial"/>
                <w:b/>
                <w:sz w:val="22"/>
                <w:szCs w:val="22"/>
              </w:rPr>
              <w:t>Total</w:t>
            </w:r>
          </w:p>
        </w:tc>
        <w:tc>
          <w:tcPr>
            <w:tcW w:w="1248" w:type="dxa"/>
          </w:tcPr>
          <w:p w14:paraId="7608789B" w14:textId="77777777" w:rsidR="001C53F6" w:rsidRPr="001C53F6" w:rsidRDefault="001C53F6" w:rsidP="001C53F6">
            <w:pPr>
              <w:pStyle w:val="ReportPara"/>
              <w:numPr>
                <w:ilvl w:val="0"/>
                <w:numId w:val="0"/>
              </w:numPr>
              <w:spacing w:after="0"/>
              <w:jc w:val="center"/>
              <w:rPr>
                <w:rFonts w:ascii="Arial" w:hAnsi="Arial" w:cs="Arial"/>
                <w:b/>
                <w:sz w:val="22"/>
                <w:szCs w:val="22"/>
              </w:rPr>
            </w:pPr>
            <w:r w:rsidRPr="001C53F6">
              <w:rPr>
                <w:rFonts w:ascii="Arial" w:hAnsi="Arial" w:cs="Arial"/>
                <w:b/>
                <w:sz w:val="22"/>
                <w:szCs w:val="22"/>
              </w:rPr>
              <w:t>151</w:t>
            </w:r>
          </w:p>
        </w:tc>
        <w:tc>
          <w:tcPr>
            <w:tcW w:w="1729" w:type="dxa"/>
          </w:tcPr>
          <w:p w14:paraId="3E07D462" w14:textId="77777777" w:rsidR="001C53F6" w:rsidRPr="001C53F6" w:rsidRDefault="001C53F6" w:rsidP="001C53F6">
            <w:pPr>
              <w:pStyle w:val="ReportPara"/>
              <w:numPr>
                <w:ilvl w:val="0"/>
                <w:numId w:val="0"/>
              </w:numPr>
              <w:spacing w:after="0"/>
              <w:jc w:val="center"/>
              <w:rPr>
                <w:rFonts w:ascii="Arial" w:hAnsi="Arial" w:cs="Arial"/>
                <w:b/>
                <w:sz w:val="22"/>
                <w:szCs w:val="22"/>
              </w:rPr>
            </w:pPr>
            <w:r w:rsidRPr="001C53F6">
              <w:rPr>
                <w:rFonts w:ascii="Arial" w:hAnsi="Arial" w:cs="Arial"/>
                <w:b/>
                <w:sz w:val="22"/>
                <w:szCs w:val="22"/>
              </w:rPr>
              <w:t>78</w:t>
            </w:r>
          </w:p>
        </w:tc>
        <w:tc>
          <w:tcPr>
            <w:tcW w:w="1503" w:type="dxa"/>
          </w:tcPr>
          <w:p w14:paraId="4D6B9A07" w14:textId="77777777" w:rsidR="001C53F6" w:rsidRPr="001C53F6" w:rsidRDefault="001C53F6" w:rsidP="001C53F6">
            <w:pPr>
              <w:pStyle w:val="ReportPara"/>
              <w:numPr>
                <w:ilvl w:val="0"/>
                <w:numId w:val="0"/>
              </w:numPr>
              <w:spacing w:after="0"/>
              <w:jc w:val="center"/>
              <w:rPr>
                <w:rFonts w:ascii="Arial" w:hAnsi="Arial" w:cs="Arial"/>
                <w:b/>
                <w:sz w:val="22"/>
                <w:szCs w:val="22"/>
              </w:rPr>
            </w:pPr>
            <w:r w:rsidRPr="001C53F6">
              <w:rPr>
                <w:rFonts w:ascii="Arial" w:hAnsi="Arial" w:cs="Arial"/>
                <w:b/>
                <w:sz w:val="22"/>
                <w:szCs w:val="22"/>
              </w:rPr>
              <w:t>229</w:t>
            </w:r>
          </w:p>
        </w:tc>
        <w:tc>
          <w:tcPr>
            <w:tcW w:w="1577" w:type="dxa"/>
          </w:tcPr>
          <w:p w14:paraId="3400E3FF" w14:textId="77777777" w:rsidR="001C53F6" w:rsidRPr="001C53F6" w:rsidRDefault="001C53F6" w:rsidP="001C53F6">
            <w:pPr>
              <w:pStyle w:val="ReportPara"/>
              <w:numPr>
                <w:ilvl w:val="0"/>
                <w:numId w:val="0"/>
              </w:numPr>
              <w:spacing w:after="0"/>
              <w:rPr>
                <w:rFonts w:ascii="Arial" w:hAnsi="Arial" w:cs="Arial"/>
                <w:b/>
                <w:sz w:val="22"/>
                <w:szCs w:val="22"/>
              </w:rPr>
            </w:pPr>
            <w:r>
              <w:rPr>
                <w:rFonts w:ascii="Arial" w:hAnsi="Arial" w:cs="Arial"/>
                <w:b/>
                <w:sz w:val="22"/>
                <w:szCs w:val="22"/>
              </w:rPr>
              <w:t>£8.435</w:t>
            </w:r>
          </w:p>
        </w:tc>
      </w:tr>
    </w:tbl>
    <w:p w14:paraId="69FEE8DF" w14:textId="77777777" w:rsidR="001C53F6" w:rsidRPr="00901F55" w:rsidRDefault="001C53F6" w:rsidP="001C53F6">
      <w:pPr>
        <w:pStyle w:val="ReportPara"/>
        <w:numPr>
          <w:ilvl w:val="0"/>
          <w:numId w:val="0"/>
        </w:numPr>
        <w:spacing w:after="0"/>
        <w:ind w:left="502"/>
        <w:jc w:val="both"/>
        <w:rPr>
          <w:rFonts w:ascii="Arial" w:hAnsi="Arial" w:cs="Arial"/>
          <w:sz w:val="22"/>
          <w:szCs w:val="22"/>
        </w:rPr>
      </w:pPr>
    </w:p>
    <w:sectPr w:rsidR="001C53F6" w:rsidRPr="00901F55" w:rsidSect="005B06A6">
      <w:headerReference w:type="default" r:id="rId9"/>
      <w:type w:val="continuous"/>
      <w:pgSz w:w="12240" w:h="15840" w:code="1"/>
      <w:pgMar w:top="864" w:right="1152" w:bottom="284" w:left="1152" w:header="576"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B6C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6CAE6" w16cid:durableId="1E5A24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4BEFF" w14:textId="77777777" w:rsidR="005F495D" w:rsidRDefault="005F495D">
      <w:r>
        <w:separator/>
      </w:r>
    </w:p>
  </w:endnote>
  <w:endnote w:type="continuationSeparator" w:id="0">
    <w:p w14:paraId="50B02B98" w14:textId="77777777" w:rsidR="005F495D" w:rsidRDefault="005F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706BA" w14:textId="77777777" w:rsidR="005F495D" w:rsidRDefault="005F495D">
      <w:r>
        <w:separator/>
      </w:r>
    </w:p>
  </w:footnote>
  <w:footnote w:type="continuationSeparator" w:id="0">
    <w:p w14:paraId="71357F05" w14:textId="77777777" w:rsidR="005F495D" w:rsidRDefault="005F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BE14" w14:textId="77777777" w:rsidR="00593B98" w:rsidRPr="00B713AE" w:rsidRDefault="00593B98" w:rsidP="00B713AE">
    <w:pPr>
      <w:pStyle w:val="Header"/>
      <w:rPr>
        <w:sz w:val="18"/>
        <w:szCs w:val="18"/>
      </w:rPr>
    </w:pPr>
    <w:r w:rsidRPr="00B713AE">
      <w:rPr>
        <w:sz w:val="18"/>
        <w:szCs w:val="18"/>
      </w:rPr>
      <w:t xml:space="preserve">Growth Board </w:t>
    </w:r>
    <w:r w:rsidR="00DA46BD">
      <w:rPr>
        <w:sz w:val="18"/>
        <w:szCs w:val="18"/>
      </w:rPr>
      <w:t>27</w:t>
    </w:r>
    <w:r w:rsidR="00DA46BD" w:rsidRPr="00DA46BD">
      <w:rPr>
        <w:sz w:val="18"/>
        <w:szCs w:val="18"/>
        <w:vertAlign w:val="superscript"/>
      </w:rPr>
      <w:t>th</w:t>
    </w:r>
    <w:r w:rsidR="00DA46BD">
      <w:rPr>
        <w:sz w:val="18"/>
        <w:szCs w:val="18"/>
      </w:rPr>
      <w:t xml:space="preserve"> March</w:t>
    </w:r>
    <w:r w:rsidRPr="00B713AE">
      <w:rPr>
        <w:sz w:val="18"/>
        <w:szCs w:val="18"/>
      </w:rPr>
      <w:t xml:space="preserve"> 2018</w:t>
    </w:r>
  </w:p>
  <w:p w14:paraId="0EF6C003" w14:textId="77777777" w:rsidR="00593B98" w:rsidRPr="00B713AE" w:rsidRDefault="00593B98" w:rsidP="00B713AE">
    <w:pPr>
      <w:pStyle w:val="Header"/>
      <w:rPr>
        <w:sz w:val="18"/>
        <w:szCs w:val="18"/>
      </w:rPr>
    </w:pPr>
    <w:r w:rsidRPr="00B713AE">
      <w:rPr>
        <w:sz w:val="18"/>
        <w:szCs w:val="18"/>
      </w:rPr>
      <w:t xml:space="preserve">Agenda item </w:t>
    </w:r>
    <w:r>
      <w:rPr>
        <w:sz w:val="18"/>
        <w:szCs w:val="18"/>
      </w:rPr>
      <w:t>–</w:t>
    </w:r>
    <w:r w:rsidRPr="00B713AE">
      <w:rPr>
        <w:sz w:val="18"/>
        <w:szCs w:val="18"/>
      </w:rPr>
      <w:t xml:space="preserve"> </w:t>
    </w:r>
    <w:r>
      <w:rPr>
        <w:sz w:val="18"/>
        <w:szCs w:val="18"/>
      </w:rPr>
      <w:t>Oxfordshire Housing and Growth Deal</w:t>
    </w:r>
  </w:p>
  <w:p w14:paraId="2B30F627" w14:textId="77777777" w:rsidR="00593B98" w:rsidRPr="00B713AE" w:rsidRDefault="00593B98" w:rsidP="00B713AE">
    <w:pPr>
      <w:pStyle w:val="Header"/>
      <w:rPr>
        <w:sz w:val="18"/>
        <w:szCs w:val="18"/>
      </w:rPr>
    </w:pPr>
    <w:r w:rsidRPr="00B713AE">
      <w:rPr>
        <w:sz w:val="18"/>
        <w:szCs w:val="18"/>
      </w:rPr>
      <w:t xml:space="preserve">Contact: </w:t>
    </w:r>
    <w:r>
      <w:rPr>
        <w:sz w:val="18"/>
        <w:szCs w:val="18"/>
      </w:rPr>
      <w:t>Caroline Green Assistant Chief Executive: Oxford City Council</w:t>
    </w:r>
    <w:r w:rsidRPr="00B713AE">
      <w:rPr>
        <w:sz w:val="18"/>
        <w:szCs w:val="18"/>
      </w:rPr>
      <w:t xml:space="preserve"> </w:t>
    </w:r>
  </w:p>
  <w:p w14:paraId="105FFF73" w14:textId="77777777" w:rsidR="00593B98" w:rsidRPr="00B713AE" w:rsidRDefault="00593B98" w:rsidP="00B713AE">
    <w:pPr>
      <w:pStyle w:val="Header"/>
      <w:rPr>
        <w:sz w:val="18"/>
        <w:szCs w:val="18"/>
      </w:rPr>
    </w:pPr>
    <w:r w:rsidRPr="00B713AE">
      <w:rPr>
        <w:sz w:val="18"/>
        <w:szCs w:val="18"/>
      </w:rPr>
      <w:t xml:space="preserve">E- mail: </w:t>
    </w:r>
    <w:r>
      <w:rPr>
        <w:sz w:val="18"/>
        <w:szCs w:val="18"/>
      </w:rPr>
      <w:t>cgreen</w:t>
    </w:r>
    <w:r w:rsidRPr="00B713AE">
      <w:rPr>
        <w:sz w:val="18"/>
        <w:szCs w:val="18"/>
      </w:rPr>
      <w:t>@oxford.gov.uk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0B0"/>
    <w:multiLevelType w:val="multilevel"/>
    <w:tmpl w:val="13726D3A"/>
    <w:lvl w:ilvl="0">
      <w:start w:val="1"/>
      <w:numFmt w:val="decimal"/>
      <w:pStyle w:val="Heading1"/>
      <w:lvlText w:val="%1."/>
      <w:lvlJc w:val="left"/>
      <w:pPr>
        <w:tabs>
          <w:tab w:val="num" w:pos="360"/>
        </w:tabs>
        <w:ind w:left="360" w:hanging="360"/>
      </w:pPr>
    </w:lvl>
    <w:lvl w:ilvl="1">
      <w:start w:val="1"/>
      <w:numFmt w:val="decimal"/>
      <w:pStyle w:val="ReportPara"/>
      <w:lvlText w:val="%1.%2."/>
      <w:lvlJc w:val="left"/>
      <w:pPr>
        <w:tabs>
          <w:tab w:val="num" w:pos="1142"/>
        </w:tabs>
        <w:ind w:left="114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D4F3A34"/>
    <w:multiLevelType w:val="hybridMultilevel"/>
    <w:tmpl w:val="0248EE5E"/>
    <w:lvl w:ilvl="0" w:tplc="30685858">
      <w:start w:val="1"/>
      <w:numFmt w:val="decimal"/>
      <w:lvlText w:val="%1)"/>
      <w:lvlJc w:val="left"/>
      <w:pPr>
        <w:ind w:left="502"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A4894"/>
    <w:multiLevelType w:val="hybridMultilevel"/>
    <w:tmpl w:val="5744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75B7C"/>
    <w:multiLevelType w:val="hybridMultilevel"/>
    <w:tmpl w:val="14E4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1D4586"/>
    <w:multiLevelType w:val="hybridMultilevel"/>
    <w:tmpl w:val="ADF06FD2"/>
    <w:lvl w:ilvl="0" w:tplc="3C421390">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556810"/>
    <w:multiLevelType w:val="hybridMultilevel"/>
    <w:tmpl w:val="F11E91EA"/>
    <w:lvl w:ilvl="0" w:tplc="A128E69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79840FC8"/>
    <w:multiLevelType w:val="hybridMultilevel"/>
    <w:tmpl w:val="60423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son, Lisa - E&amp;E">
    <w15:presenceInfo w15:providerId="AD" w15:userId="S-1-5-21-606747145-1326574676-725345543-55704"/>
  </w15:person>
  <w15:person w15:author="Halliwell, Susan - E&amp;E">
    <w15:presenceInfo w15:providerId="AD" w15:userId="S-1-5-21-606747145-1326574676-725345543-2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FD"/>
    <w:rsid w:val="000004AD"/>
    <w:rsid w:val="000017AD"/>
    <w:rsid w:val="0000199D"/>
    <w:rsid w:val="00006DC2"/>
    <w:rsid w:val="00010AD7"/>
    <w:rsid w:val="0001201D"/>
    <w:rsid w:val="00013038"/>
    <w:rsid w:val="00013999"/>
    <w:rsid w:val="00014509"/>
    <w:rsid w:val="000171C2"/>
    <w:rsid w:val="000206AB"/>
    <w:rsid w:val="00022004"/>
    <w:rsid w:val="00022E05"/>
    <w:rsid w:val="00024EB8"/>
    <w:rsid w:val="00027DB4"/>
    <w:rsid w:val="00031DE8"/>
    <w:rsid w:val="000323C0"/>
    <w:rsid w:val="00032551"/>
    <w:rsid w:val="0003446B"/>
    <w:rsid w:val="0003463D"/>
    <w:rsid w:val="0003751D"/>
    <w:rsid w:val="000379EA"/>
    <w:rsid w:val="0004049E"/>
    <w:rsid w:val="00040A80"/>
    <w:rsid w:val="00043715"/>
    <w:rsid w:val="00043786"/>
    <w:rsid w:val="00050870"/>
    <w:rsid w:val="00051C1A"/>
    <w:rsid w:val="0005200C"/>
    <w:rsid w:val="00052957"/>
    <w:rsid w:val="00053045"/>
    <w:rsid w:val="000557EF"/>
    <w:rsid w:val="000560C2"/>
    <w:rsid w:val="00060DFF"/>
    <w:rsid w:val="00060FCA"/>
    <w:rsid w:val="0006113E"/>
    <w:rsid w:val="00061819"/>
    <w:rsid w:val="00063A3A"/>
    <w:rsid w:val="00065172"/>
    <w:rsid w:val="00066149"/>
    <w:rsid w:val="00066853"/>
    <w:rsid w:val="000677E9"/>
    <w:rsid w:val="00070217"/>
    <w:rsid w:val="00071229"/>
    <w:rsid w:val="00071C2B"/>
    <w:rsid w:val="00071EA5"/>
    <w:rsid w:val="00074000"/>
    <w:rsid w:val="00074125"/>
    <w:rsid w:val="00076F72"/>
    <w:rsid w:val="00077783"/>
    <w:rsid w:val="00081C25"/>
    <w:rsid w:val="000831D2"/>
    <w:rsid w:val="00085460"/>
    <w:rsid w:val="00087788"/>
    <w:rsid w:val="00090C0C"/>
    <w:rsid w:val="000923A1"/>
    <w:rsid w:val="00093E3B"/>
    <w:rsid w:val="00094547"/>
    <w:rsid w:val="00096A3D"/>
    <w:rsid w:val="000977D4"/>
    <w:rsid w:val="000A0797"/>
    <w:rsid w:val="000A0809"/>
    <w:rsid w:val="000A33F9"/>
    <w:rsid w:val="000A3F24"/>
    <w:rsid w:val="000A40A9"/>
    <w:rsid w:val="000A5721"/>
    <w:rsid w:val="000A64AD"/>
    <w:rsid w:val="000A780A"/>
    <w:rsid w:val="000A7962"/>
    <w:rsid w:val="000B3230"/>
    <w:rsid w:val="000B65C7"/>
    <w:rsid w:val="000C1301"/>
    <w:rsid w:val="000C1438"/>
    <w:rsid w:val="000C2506"/>
    <w:rsid w:val="000C5826"/>
    <w:rsid w:val="000C7782"/>
    <w:rsid w:val="000C7A73"/>
    <w:rsid w:val="000D1B86"/>
    <w:rsid w:val="000D2B15"/>
    <w:rsid w:val="000D3C79"/>
    <w:rsid w:val="000D5B5E"/>
    <w:rsid w:val="000D7B63"/>
    <w:rsid w:val="000E152E"/>
    <w:rsid w:val="000E19C9"/>
    <w:rsid w:val="000E2523"/>
    <w:rsid w:val="000E4FBD"/>
    <w:rsid w:val="000E54C6"/>
    <w:rsid w:val="000E56F8"/>
    <w:rsid w:val="000E6911"/>
    <w:rsid w:val="000E7420"/>
    <w:rsid w:val="000F0461"/>
    <w:rsid w:val="000F0758"/>
    <w:rsid w:val="000F0E18"/>
    <w:rsid w:val="000F197E"/>
    <w:rsid w:val="000F1EA4"/>
    <w:rsid w:val="000F2652"/>
    <w:rsid w:val="000F3E96"/>
    <w:rsid w:val="000F5DF4"/>
    <w:rsid w:val="000F6BAE"/>
    <w:rsid w:val="0010008D"/>
    <w:rsid w:val="00100335"/>
    <w:rsid w:val="001044D4"/>
    <w:rsid w:val="00105133"/>
    <w:rsid w:val="00106863"/>
    <w:rsid w:val="00107DF9"/>
    <w:rsid w:val="00110154"/>
    <w:rsid w:val="00110A28"/>
    <w:rsid w:val="0011123A"/>
    <w:rsid w:val="00114056"/>
    <w:rsid w:val="0011799B"/>
    <w:rsid w:val="00124AE4"/>
    <w:rsid w:val="001257DE"/>
    <w:rsid w:val="00130606"/>
    <w:rsid w:val="001329AF"/>
    <w:rsid w:val="00133E28"/>
    <w:rsid w:val="00135B67"/>
    <w:rsid w:val="00136B68"/>
    <w:rsid w:val="00140AE6"/>
    <w:rsid w:val="00141F15"/>
    <w:rsid w:val="001443F3"/>
    <w:rsid w:val="00146FEF"/>
    <w:rsid w:val="00150267"/>
    <w:rsid w:val="00150F22"/>
    <w:rsid w:val="00152161"/>
    <w:rsid w:val="00152D91"/>
    <w:rsid w:val="001533F2"/>
    <w:rsid w:val="00153FE5"/>
    <w:rsid w:val="0015445F"/>
    <w:rsid w:val="0015478B"/>
    <w:rsid w:val="00155A41"/>
    <w:rsid w:val="00157FA5"/>
    <w:rsid w:val="00160764"/>
    <w:rsid w:val="00162524"/>
    <w:rsid w:val="001627D3"/>
    <w:rsid w:val="00167D4A"/>
    <w:rsid w:val="00170055"/>
    <w:rsid w:val="00170817"/>
    <w:rsid w:val="00171F0D"/>
    <w:rsid w:val="00173A72"/>
    <w:rsid w:val="001756D1"/>
    <w:rsid w:val="001762AE"/>
    <w:rsid w:val="0018023D"/>
    <w:rsid w:val="00180546"/>
    <w:rsid w:val="00181A10"/>
    <w:rsid w:val="001830CC"/>
    <w:rsid w:val="001847D6"/>
    <w:rsid w:val="0018721D"/>
    <w:rsid w:val="0018789D"/>
    <w:rsid w:val="00190572"/>
    <w:rsid w:val="00190926"/>
    <w:rsid w:val="001956BF"/>
    <w:rsid w:val="00196C8A"/>
    <w:rsid w:val="00197CE5"/>
    <w:rsid w:val="001A2995"/>
    <w:rsid w:val="001A2F86"/>
    <w:rsid w:val="001A3F5A"/>
    <w:rsid w:val="001A4A1B"/>
    <w:rsid w:val="001A5E0E"/>
    <w:rsid w:val="001A64BB"/>
    <w:rsid w:val="001A7302"/>
    <w:rsid w:val="001A76BD"/>
    <w:rsid w:val="001A7ABA"/>
    <w:rsid w:val="001B25C4"/>
    <w:rsid w:val="001C2FDB"/>
    <w:rsid w:val="001C3C71"/>
    <w:rsid w:val="001C53F6"/>
    <w:rsid w:val="001C7141"/>
    <w:rsid w:val="001D024A"/>
    <w:rsid w:val="001D41F5"/>
    <w:rsid w:val="001D4AA6"/>
    <w:rsid w:val="001D4E81"/>
    <w:rsid w:val="001D4FAE"/>
    <w:rsid w:val="001E0136"/>
    <w:rsid w:val="001E0EE8"/>
    <w:rsid w:val="001E251E"/>
    <w:rsid w:val="001E2843"/>
    <w:rsid w:val="001E58A1"/>
    <w:rsid w:val="001E5CFE"/>
    <w:rsid w:val="001E782D"/>
    <w:rsid w:val="001E7C58"/>
    <w:rsid w:val="001F2629"/>
    <w:rsid w:val="001F618E"/>
    <w:rsid w:val="001F7133"/>
    <w:rsid w:val="001F728B"/>
    <w:rsid w:val="001F7975"/>
    <w:rsid w:val="002000C7"/>
    <w:rsid w:val="00200D36"/>
    <w:rsid w:val="00200E98"/>
    <w:rsid w:val="00201501"/>
    <w:rsid w:val="0020292F"/>
    <w:rsid w:val="00205EAC"/>
    <w:rsid w:val="00206E08"/>
    <w:rsid w:val="00212088"/>
    <w:rsid w:val="00215A3E"/>
    <w:rsid w:val="002217D8"/>
    <w:rsid w:val="00223231"/>
    <w:rsid w:val="00225655"/>
    <w:rsid w:val="00227412"/>
    <w:rsid w:val="00231F3E"/>
    <w:rsid w:val="00235BD4"/>
    <w:rsid w:val="0024300F"/>
    <w:rsid w:val="00243A83"/>
    <w:rsid w:val="0024477C"/>
    <w:rsid w:val="00245C08"/>
    <w:rsid w:val="0024612D"/>
    <w:rsid w:val="002528D4"/>
    <w:rsid w:val="00252C39"/>
    <w:rsid w:val="002542E8"/>
    <w:rsid w:val="0025465A"/>
    <w:rsid w:val="00255D51"/>
    <w:rsid w:val="00256746"/>
    <w:rsid w:val="00260499"/>
    <w:rsid w:val="00260C19"/>
    <w:rsid w:val="00262677"/>
    <w:rsid w:val="002646A4"/>
    <w:rsid w:val="00264D17"/>
    <w:rsid w:val="002659D1"/>
    <w:rsid w:val="00265AE5"/>
    <w:rsid w:val="00265C73"/>
    <w:rsid w:val="002668B9"/>
    <w:rsid w:val="002810CA"/>
    <w:rsid w:val="00282051"/>
    <w:rsid w:val="00284B97"/>
    <w:rsid w:val="00285E52"/>
    <w:rsid w:val="002862BC"/>
    <w:rsid w:val="002863D0"/>
    <w:rsid w:val="00293DA6"/>
    <w:rsid w:val="002940D6"/>
    <w:rsid w:val="0029662E"/>
    <w:rsid w:val="002A21BF"/>
    <w:rsid w:val="002A2203"/>
    <w:rsid w:val="002A497E"/>
    <w:rsid w:val="002A4E04"/>
    <w:rsid w:val="002B048C"/>
    <w:rsid w:val="002B39DC"/>
    <w:rsid w:val="002B5663"/>
    <w:rsid w:val="002C72E1"/>
    <w:rsid w:val="002C797A"/>
    <w:rsid w:val="002D27E1"/>
    <w:rsid w:val="002D4CC7"/>
    <w:rsid w:val="002D4F58"/>
    <w:rsid w:val="002D54E0"/>
    <w:rsid w:val="002D685E"/>
    <w:rsid w:val="002D6880"/>
    <w:rsid w:val="002D7735"/>
    <w:rsid w:val="002E220C"/>
    <w:rsid w:val="002F2EF9"/>
    <w:rsid w:val="00301427"/>
    <w:rsid w:val="0030415C"/>
    <w:rsid w:val="003041BC"/>
    <w:rsid w:val="003048F2"/>
    <w:rsid w:val="00305981"/>
    <w:rsid w:val="0031356F"/>
    <w:rsid w:val="00313DD9"/>
    <w:rsid w:val="0031528C"/>
    <w:rsid w:val="0031551B"/>
    <w:rsid w:val="003158DE"/>
    <w:rsid w:val="00316E35"/>
    <w:rsid w:val="00317943"/>
    <w:rsid w:val="003203E5"/>
    <w:rsid w:val="00321368"/>
    <w:rsid w:val="00322E36"/>
    <w:rsid w:val="00323FE6"/>
    <w:rsid w:val="0032413B"/>
    <w:rsid w:val="00324B85"/>
    <w:rsid w:val="00324F94"/>
    <w:rsid w:val="00325E60"/>
    <w:rsid w:val="00327765"/>
    <w:rsid w:val="00327B9D"/>
    <w:rsid w:val="00331D7E"/>
    <w:rsid w:val="00331DBD"/>
    <w:rsid w:val="00331E69"/>
    <w:rsid w:val="003323C6"/>
    <w:rsid w:val="003325AB"/>
    <w:rsid w:val="00333440"/>
    <w:rsid w:val="0033662F"/>
    <w:rsid w:val="00336BE5"/>
    <w:rsid w:val="00336F04"/>
    <w:rsid w:val="0033709E"/>
    <w:rsid w:val="00340112"/>
    <w:rsid w:val="00344B40"/>
    <w:rsid w:val="00346FD1"/>
    <w:rsid w:val="003516A0"/>
    <w:rsid w:val="003553DC"/>
    <w:rsid w:val="00355BC2"/>
    <w:rsid w:val="00356D22"/>
    <w:rsid w:val="00360A20"/>
    <w:rsid w:val="00362EEF"/>
    <w:rsid w:val="00364E81"/>
    <w:rsid w:val="00370417"/>
    <w:rsid w:val="003713C9"/>
    <w:rsid w:val="003741DE"/>
    <w:rsid w:val="003743AD"/>
    <w:rsid w:val="00377D41"/>
    <w:rsid w:val="00381566"/>
    <w:rsid w:val="003865CA"/>
    <w:rsid w:val="00387ADB"/>
    <w:rsid w:val="003900AC"/>
    <w:rsid w:val="00395F4B"/>
    <w:rsid w:val="003A0D8E"/>
    <w:rsid w:val="003A1C88"/>
    <w:rsid w:val="003A2AEC"/>
    <w:rsid w:val="003A382D"/>
    <w:rsid w:val="003A3B62"/>
    <w:rsid w:val="003B172A"/>
    <w:rsid w:val="003C0E53"/>
    <w:rsid w:val="003C2640"/>
    <w:rsid w:val="003C42E6"/>
    <w:rsid w:val="003C5588"/>
    <w:rsid w:val="003C6DD5"/>
    <w:rsid w:val="003C70DF"/>
    <w:rsid w:val="003D1E64"/>
    <w:rsid w:val="003D21B9"/>
    <w:rsid w:val="003D2DC7"/>
    <w:rsid w:val="003D32FA"/>
    <w:rsid w:val="003D4FD2"/>
    <w:rsid w:val="003D6A81"/>
    <w:rsid w:val="003E0D92"/>
    <w:rsid w:val="003E1451"/>
    <w:rsid w:val="003E3882"/>
    <w:rsid w:val="003E409C"/>
    <w:rsid w:val="003E4558"/>
    <w:rsid w:val="003F068E"/>
    <w:rsid w:val="003F1023"/>
    <w:rsid w:val="003F17A7"/>
    <w:rsid w:val="003F2134"/>
    <w:rsid w:val="003F35F0"/>
    <w:rsid w:val="003F3DC5"/>
    <w:rsid w:val="003F5259"/>
    <w:rsid w:val="003F5D18"/>
    <w:rsid w:val="004006F6"/>
    <w:rsid w:val="00400D8C"/>
    <w:rsid w:val="00403CE3"/>
    <w:rsid w:val="004047EB"/>
    <w:rsid w:val="00415247"/>
    <w:rsid w:val="004152C3"/>
    <w:rsid w:val="00423252"/>
    <w:rsid w:val="00424172"/>
    <w:rsid w:val="0043070C"/>
    <w:rsid w:val="00430E04"/>
    <w:rsid w:val="0043167C"/>
    <w:rsid w:val="004318E2"/>
    <w:rsid w:val="00431C9F"/>
    <w:rsid w:val="00432F9A"/>
    <w:rsid w:val="00433A50"/>
    <w:rsid w:val="004359A4"/>
    <w:rsid w:val="004370E6"/>
    <w:rsid w:val="004429F0"/>
    <w:rsid w:val="00445685"/>
    <w:rsid w:val="00447DDA"/>
    <w:rsid w:val="00453EAF"/>
    <w:rsid w:val="004550D5"/>
    <w:rsid w:val="00456EFF"/>
    <w:rsid w:val="0046686E"/>
    <w:rsid w:val="0046726C"/>
    <w:rsid w:val="004678D1"/>
    <w:rsid w:val="00467D18"/>
    <w:rsid w:val="00472580"/>
    <w:rsid w:val="00473276"/>
    <w:rsid w:val="004757F0"/>
    <w:rsid w:val="00475EB4"/>
    <w:rsid w:val="0048337A"/>
    <w:rsid w:val="00484110"/>
    <w:rsid w:val="0048459C"/>
    <w:rsid w:val="004846CB"/>
    <w:rsid w:val="00485F8A"/>
    <w:rsid w:val="0048635D"/>
    <w:rsid w:val="00487313"/>
    <w:rsid w:val="00491207"/>
    <w:rsid w:val="0049349F"/>
    <w:rsid w:val="004A1E5A"/>
    <w:rsid w:val="004A3488"/>
    <w:rsid w:val="004A356A"/>
    <w:rsid w:val="004A3F04"/>
    <w:rsid w:val="004A563F"/>
    <w:rsid w:val="004A64BD"/>
    <w:rsid w:val="004B0825"/>
    <w:rsid w:val="004B0BFE"/>
    <w:rsid w:val="004B206C"/>
    <w:rsid w:val="004B2DB4"/>
    <w:rsid w:val="004B3018"/>
    <w:rsid w:val="004B4066"/>
    <w:rsid w:val="004B490B"/>
    <w:rsid w:val="004B4CC9"/>
    <w:rsid w:val="004B5A9A"/>
    <w:rsid w:val="004B5F2B"/>
    <w:rsid w:val="004C08F8"/>
    <w:rsid w:val="004C4892"/>
    <w:rsid w:val="004C4B90"/>
    <w:rsid w:val="004C53D4"/>
    <w:rsid w:val="004C6228"/>
    <w:rsid w:val="004C6E54"/>
    <w:rsid w:val="004D018C"/>
    <w:rsid w:val="004D0D30"/>
    <w:rsid w:val="004D1EA1"/>
    <w:rsid w:val="004D31F7"/>
    <w:rsid w:val="004D3324"/>
    <w:rsid w:val="004D65A0"/>
    <w:rsid w:val="004D6E38"/>
    <w:rsid w:val="004E00AA"/>
    <w:rsid w:val="004E5CA9"/>
    <w:rsid w:val="004E752B"/>
    <w:rsid w:val="004F04E0"/>
    <w:rsid w:val="004F1E53"/>
    <w:rsid w:val="004F327C"/>
    <w:rsid w:val="0050015A"/>
    <w:rsid w:val="00500ADA"/>
    <w:rsid w:val="0050137D"/>
    <w:rsid w:val="0050281B"/>
    <w:rsid w:val="00503E1E"/>
    <w:rsid w:val="00505CFE"/>
    <w:rsid w:val="005066CF"/>
    <w:rsid w:val="00511782"/>
    <w:rsid w:val="005120D4"/>
    <w:rsid w:val="005120E9"/>
    <w:rsid w:val="0051229B"/>
    <w:rsid w:val="0051267D"/>
    <w:rsid w:val="005156DF"/>
    <w:rsid w:val="00516735"/>
    <w:rsid w:val="0052301B"/>
    <w:rsid w:val="00524845"/>
    <w:rsid w:val="00524968"/>
    <w:rsid w:val="00525148"/>
    <w:rsid w:val="0052712C"/>
    <w:rsid w:val="00532BAE"/>
    <w:rsid w:val="005337B0"/>
    <w:rsid w:val="00533BD6"/>
    <w:rsid w:val="00536294"/>
    <w:rsid w:val="00547EBC"/>
    <w:rsid w:val="0055063C"/>
    <w:rsid w:val="00550FF9"/>
    <w:rsid w:val="005552BD"/>
    <w:rsid w:val="0056021A"/>
    <w:rsid w:val="00562070"/>
    <w:rsid w:val="00563709"/>
    <w:rsid w:val="00563971"/>
    <w:rsid w:val="00563F1E"/>
    <w:rsid w:val="0056457C"/>
    <w:rsid w:val="0056715B"/>
    <w:rsid w:val="005678B0"/>
    <w:rsid w:val="00571C74"/>
    <w:rsid w:val="00571F02"/>
    <w:rsid w:val="005731CE"/>
    <w:rsid w:val="005745AD"/>
    <w:rsid w:val="00577B61"/>
    <w:rsid w:val="00580AA1"/>
    <w:rsid w:val="00582207"/>
    <w:rsid w:val="00582407"/>
    <w:rsid w:val="005824CC"/>
    <w:rsid w:val="005848D1"/>
    <w:rsid w:val="005860FE"/>
    <w:rsid w:val="0058739F"/>
    <w:rsid w:val="00590ABC"/>
    <w:rsid w:val="00591E28"/>
    <w:rsid w:val="0059252A"/>
    <w:rsid w:val="00592DC4"/>
    <w:rsid w:val="00593B98"/>
    <w:rsid w:val="005A0363"/>
    <w:rsid w:val="005A20B1"/>
    <w:rsid w:val="005A3BA1"/>
    <w:rsid w:val="005A5514"/>
    <w:rsid w:val="005A77E4"/>
    <w:rsid w:val="005A7C8C"/>
    <w:rsid w:val="005B06A6"/>
    <w:rsid w:val="005B1933"/>
    <w:rsid w:val="005B6F85"/>
    <w:rsid w:val="005C00E8"/>
    <w:rsid w:val="005C0487"/>
    <w:rsid w:val="005C1878"/>
    <w:rsid w:val="005C247E"/>
    <w:rsid w:val="005C29EB"/>
    <w:rsid w:val="005C3887"/>
    <w:rsid w:val="005C498A"/>
    <w:rsid w:val="005D0420"/>
    <w:rsid w:val="005D24EA"/>
    <w:rsid w:val="005D2BF5"/>
    <w:rsid w:val="005D3784"/>
    <w:rsid w:val="005D487C"/>
    <w:rsid w:val="005D4AB8"/>
    <w:rsid w:val="005D530F"/>
    <w:rsid w:val="005D5CE6"/>
    <w:rsid w:val="005E0141"/>
    <w:rsid w:val="005E2EE5"/>
    <w:rsid w:val="005E4373"/>
    <w:rsid w:val="005E614F"/>
    <w:rsid w:val="005F0730"/>
    <w:rsid w:val="005F1933"/>
    <w:rsid w:val="005F30BF"/>
    <w:rsid w:val="005F3201"/>
    <w:rsid w:val="005F39DC"/>
    <w:rsid w:val="005F4242"/>
    <w:rsid w:val="005F46D5"/>
    <w:rsid w:val="005F495D"/>
    <w:rsid w:val="005F5832"/>
    <w:rsid w:val="005F64AE"/>
    <w:rsid w:val="005F6D6A"/>
    <w:rsid w:val="005F764F"/>
    <w:rsid w:val="006009E2"/>
    <w:rsid w:val="00603F62"/>
    <w:rsid w:val="00604155"/>
    <w:rsid w:val="00604496"/>
    <w:rsid w:val="00605902"/>
    <w:rsid w:val="00605A2E"/>
    <w:rsid w:val="00606C5A"/>
    <w:rsid w:val="00607490"/>
    <w:rsid w:val="00607577"/>
    <w:rsid w:val="00610FE4"/>
    <w:rsid w:val="00612F7A"/>
    <w:rsid w:val="00614899"/>
    <w:rsid w:val="00615293"/>
    <w:rsid w:val="00620AE5"/>
    <w:rsid w:val="0062209E"/>
    <w:rsid w:val="00622FAA"/>
    <w:rsid w:val="006259CA"/>
    <w:rsid w:val="0062698B"/>
    <w:rsid w:val="00626F28"/>
    <w:rsid w:val="006273FA"/>
    <w:rsid w:val="00627969"/>
    <w:rsid w:val="006316EF"/>
    <w:rsid w:val="0063256B"/>
    <w:rsid w:val="006333B6"/>
    <w:rsid w:val="0063634E"/>
    <w:rsid w:val="0064072C"/>
    <w:rsid w:val="0064294E"/>
    <w:rsid w:val="0064302A"/>
    <w:rsid w:val="0064440E"/>
    <w:rsid w:val="0064479E"/>
    <w:rsid w:val="00644A3B"/>
    <w:rsid w:val="00646923"/>
    <w:rsid w:val="006500B6"/>
    <w:rsid w:val="006520B5"/>
    <w:rsid w:val="00655AD4"/>
    <w:rsid w:val="006561A5"/>
    <w:rsid w:val="00657DD9"/>
    <w:rsid w:val="00660D0C"/>
    <w:rsid w:val="00661430"/>
    <w:rsid w:val="00662BBA"/>
    <w:rsid w:val="00663944"/>
    <w:rsid w:val="00664487"/>
    <w:rsid w:val="006665A5"/>
    <w:rsid w:val="006702E3"/>
    <w:rsid w:val="00672118"/>
    <w:rsid w:val="0067213C"/>
    <w:rsid w:val="00673817"/>
    <w:rsid w:val="006768AB"/>
    <w:rsid w:val="0067771E"/>
    <w:rsid w:val="00677DAC"/>
    <w:rsid w:val="00680436"/>
    <w:rsid w:val="0068051A"/>
    <w:rsid w:val="00680CB1"/>
    <w:rsid w:val="00684350"/>
    <w:rsid w:val="00690E2D"/>
    <w:rsid w:val="00691763"/>
    <w:rsid w:val="00693499"/>
    <w:rsid w:val="00694678"/>
    <w:rsid w:val="00696DD7"/>
    <w:rsid w:val="006A2B6E"/>
    <w:rsid w:val="006A3EF6"/>
    <w:rsid w:val="006A4874"/>
    <w:rsid w:val="006A497B"/>
    <w:rsid w:val="006A4FA7"/>
    <w:rsid w:val="006A6027"/>
    <w:rsid w:val="006B3285"/>
    <w:rsid w:val="006B4000"/>
    <w:rsid w:val="006B5841"/>
    <w:rsid w:val="006B6D54"/>
    <w:rsid w:val="006C07C7"/>
    <w:rsid w:val="006C090C"/>
    <w:rsid w:val="006C21C6"/>
    <w:rsid w:val="006C25EF"/>
    <w:rsid w:val="006C78B1"/>
    <w:rsid w:val="006C7ADA"/>
    <w:rsid w:val="006C7F5C"/>
    <w:rsid w:val="006D0528"/>
    <w:rsid w:val="006D19A6"/>
    <w:rsid w:val="006D314F"/>
    <w:rsid w:val="006D554D"/>
    <w:rsid w:val="006D6FA0"/>
    <w:rsid w:val="006E038D"/>
    <w:rsid w:val="006E099D"/>
    <w:rsid w:val="006E3598"/>
    <w:rsid w:val="006E3D4E"/>
    <w:rsid w:val="006E610A"/>
    <w:rsid w:val="007019E1"/>
    <w:rsid w:val="00703705"/>
    <w:rsid w:val="00704F7C"/>
    <w:rsid w:val="00707D75"/>
    <w:rsid w:val="00712C36"/>
    <w:rsid w:val="00712E2E"/>
    <w:rsid w:val="00713647"/>
    <w:rsid w:val="00713919"/>
    <w:rsid w:val="007147CE"/>
    <w:rsid w:val="00714B11"/>
    <w:rsid w:val="00715A2C"/>
    <w:rsid w:val="00716240"/>
    <w:rsid w:val="00721DF5"/>
    <w:rsid w:val="00723937"/>
    <w:rsid w:val="00724909"/>
    <w:rsid w:val="00730590"/>
    <w:rsid w:val="0073185A"/>
    <w:rsid w:val="007321FD"/>
    <w:rsid w:val="00734E72"/>
    <w:rsid w:val="00734FA9"/>
    <w:rsid w:val="0073719F"/>
    <w:rsid w:val="007419A5"/>
    <w:rsid w:val="007425AA"/>
    <w:rsid w:val="00742D0F"/>
    <w:rsid w:val="00743E34"/>
    <w:rsid w:val="007465A9"/>
    <w:rsid w:val="00751025"/>
    <w:rsid w:val="00755637"/>
    <w:rsid w:val="00755937"/>
    <w:rsid w:val="00755BA0"/>
    <w:rsid w:val="00755C6B"/>
    <w:rsid w:val="00756711"/>
    <w:rsid w:val="00760D77"/>
    <w:rsid w:val="007619F6"/>
    <w:rsid w:val="00761D35"/>
    <w:rsid w:val="00767116"/>
    <w:rsid w:val="00767598"/>
    <w:rsid w:val="0076791C"/>
    <w:rsid w:val="00772637"/>
    <w:rsid w:val="007760E6"/>
    <w:rsid w:val="0077659D"/>
    <w:rsid w:val="007802A2"/>
    <w:rsid w:val="0078071A"/>
    <w:rsid w:val="007817A1"/>
    <w:rsid w:val="00782AB2"/>
    <w:rsid w:val="00782AB6"/>
    <w:rsid w:val="00785C96"/>
    <w:rsid w:val="00786156"/>
    <w:rsid w:val="00790ED6"/>
    <w:rsid w:val="007929AE"/>
    <w:rsid w:val="00793640"/>
    <w:rsid w:val="007939B7"/>
    <w:rsid w:val="00793EAC"/>
    <w:rsid w:val="00795396"/>
    <w:rsid w:val="00795EB6"/>
    <w:rsid w:val="0079674D"/>
    <w:rsid w:val="00797055"/>
    <w:rsid w:val="00797D59"/>
    <w:rsid w:val="007A0A07"/>
    <w:rsid w:val="007A37BA"/>
    <w:rsid w:val="007A6E9C"/>
    <w:rsid w:val="007B11B9"/>
    <w:rsid w:val="007B3D83"/>
    <w:rsid w:val="007B64A6"/>
    <w:rsid w:val="007B7366"/>
    <w:rsid w:val="007B78C4"/>
    <w:rsid w:val="007C0ADD"/>
    <w:rsid w:val="007C18C6"/>
    <w:rsid w:val="007C2868"/>
    <w:rsid w:val="007C5DB6"/>
    <w:rsid w:val="007C6049"/>
    <w:rsid w:val="007C630E"/>
    <w:rsid w:val="007C66C5"/>
    <w:rsid w:val="007D5027"/>
    <w:rsid w:val="007D6EBA"/>
    <w:rsid w:val="007E0D2C"/>
    <w:rsid w:val="007E2C0E"/>
    <w:rsid w:val="007E44BA"/>
    <w:rsid w:val="007E4840"/>
    <w:rsid w:val="007E4F73"/>
    <w:rsid w:val="007E4FC3"/>
    <w:rsid w:val="007E500E"/>
    <w:rsid w:val="007E5080"/>
    <w:rsid w:val="007E50F4"/>
    <w:rsid w:val="007E57BF"/>
    <w:rsid w:val="007E6530"/>
    <w:rsid w:val="007E6EBB"/>
    <w:rsid w:val="007F37A9"/>
    <w:rsid w:val="007F5606"/>
    <w:rsid w:val="00801118"/>
    <w:rsid w:val="0080480F"/>
    <w:rsid w:val="008078C3"/>
    <w:rsid w:val="00807B3B"/>
    <w:rsid w:val="0081003F"/>
    <w:rsid w:val="008115E8"/>
    <w:rsid w:val="00814B4A"/>
    <w:rsid w:val="00815462"/>
    <w:rsid w:val="00815911"/>
    <w:rsid w:val="00816C42"/>
    <w:rsid w:val="008216F2"/>
    <w:rsid w:val="008267B5"/>
    <w:rsid w:val="00826A14"/>
    <w:rsid w:val="008307EE"/>
    <w:rsid w:val="00832F65"/>
    <w:rsid w:val="00833436"/>
    <w:rsid w:val="00833570"/>
    <w:rsid w:val="00833917"/>
    <w:rsid w:val="008341F6"/>
    <w:rsid w:val="008352F2"/>
    <w:rsid w:val="00835CEE"/>
    <w:rsid w:val="00836FDD"/>
    <w:rsid w:val="00843EBC"/>
    <w:rsid w:val="0084526F"/>
    <w:rsid w:val="008463B7"/>
    <w:rsid w:val="00851C04"/>
    <w:rsid w:val="00852B6D"/>
    <w:rsid w:val="008562A9"/>
    <w:rsid w:val="00867164"/>
    <w:rsid w:val="00867D86"/>
    <w:rsid w:val="00876A71"/>
    <w:rsid w:val="0088106F"/>
    <w:rsid w:val="00882303"/>
    <w:rsid w:val="00882B39"/>
    <w:rsid w:val="00882E7E"/>
    <w:rsid w:val="008844B1"/>
    <w:rsid w:val="00884D8A"/>
    <w:rsid w:val="00885B78"/>
    <w:rsid w:val="00890272"/>
    <w:rsid w:val="008918E7"/>
    <w:rsid w:val="00891B8C"/>
    <w:rsid w:val="00891BF5"/>
    <w:rsid w:val="00894993"/>
    <w:rsid w:val="008949B3"/>
    <w:rsid w:val="00895539"/>
    <w:rsid w:val="008973F7"/>
    <w:rsid w:val="008A2529"/>
    <w:rsid w:val="008A380A"/>
    <w:rsid w:val="008A408A"/>
    <w:rsid w:val="008A4BF8"/>
    <w:rsid w:val="008A5817"/>
    <w:rsid w:val="008B0734"/>
    <w:rsid w:val="008B279A"/>
    <w:rsid w:val="008B2D21"/>
    <w:rsid w:val="008B3A1C"/>
    <w:rsid w:val="008B6677"/>
    <w:rsid w:val="008C11A4"/>
    <w:rsid w:val="008C2F5E"/>
    <w:rsid w:val="008C32AE"/>
    <w:rsid w:val="008C45E6"/>
    <w:rsid w:val="008C4732"/>
    <w:rsid w:val="008C577C"/>
    <w:rsid w:val="008C6CBB"/>
    <w:rsid w:val="008C7523"/>
    <w:rsid w:val="008D0DFE"/>
    <w:rsid w:val="008D149B"/>
    <w:rsid w:val="008D1586"/>
    <w:rsid w:val="008D3572"/>
    <w:rsid w:val="008D481C"/>
    <w:rsid w:val="008D5304"/>
    <w:rsid w:val="008D5B2C"/>
    <w:rsid w:val="008E1626"/>
    <w:rsid w:val="008E27FC"/>
    <w:rsid w:val="008E45AF"/>
    <w:rsid w:val="008E4B18"/>
    <w:rsid w:val="008E5760"/>
    <w:rsid w:val="008E60CD"/>
    <w:rsid w:val="008F10E3"/>
    <w:rsid w:val="008F2BD8"/>
    <w:rsid w:val="008F5865"/>
    <w:rsid w:val="008F6F31"/>
    <w:rsid w:val="008F7768"/>
    <w:rsid w:val="009010A7"/>
    <w:rsid w:val="00901F55"/>
    <w:rsid w:val="009027AB"/>
    <w:rsid w:val="009029C8"/>
    <w:rsid w:val="00902EF7"/>
    <w:rsid w:val="00906DC9"/>
    <w:rsid w:val="00907996"/>
    <w:rsid w:val="00907A42"/>
    <w:rsid w:val="00911F27"/>
    <w:rsid w:val="00912BF9"/>
    <w:rsid w:val="00916535"/>
    <w:rsid w:val="0092266B"/>
    <w:rsid w:val="009229D8"/>
    <w:rsid w:val="00927217"/>
    <w:rsid w:val="009273C9"/>
    <w:rsid w:val="00931C09"/>
    <w:rsid w:val="009347D5"/>
    <w:rsid w:val="00934944"/>
    <w:rsid w:val="00935995"/>
    <w:rsid w:val="00936429"/>
    <w:rsid w:val="00940571"/>
    <w:rsid w:val="00943AE1"/>
    <w:rsid w:val="009443D1"/>
    <w:rsid w:val="00944835"/>
    <w:rsid w:val="009456A2"/>
    <w:rsid w:val="0095439C"/>
    <w:rsid w:val="00956926"/>
    <w:rsid w:val="00961E08"/>
    <w:rsid w:val="009643E9"/>
    <w:rsid w:val="00965B12"/>
    <w:rsid w:val="00965F5C"/>
    <w:rsid w:val="009672D9"/>
    <w:rsid w:val="009674C2"/>
    <w:rsid w:val="00970383"/>
    <w:rsid w:val="0097117E"/>
    <w:rsid w:val="00971F43"/>
    <w:rsid w:val="0097511A"/>
    <w:rsid w:val="009754FD"/>
    <w:rsid w:val="00975CC3"/>
    <w:rsid w:val="00976041"/>
    <w:rsid w:val="009762AE"/>
    <w:rsid w:val="0097634A"/>
    <w:rsid w:val="00976798"/>
    <w:rsid w:val="0098187E"/>
    <w:rsid w:val="00994809"/>
    <w:rsid w:val="00995D28"/>
    <w:rsid w:val="00996A7B"/>
    <w:rsid w:val="00997472"/>
    <w:rsid w:val="009A2FB5"/>
    <w:rsid w:val="009A468A"/>
    <w:rsid w:val="009A4A5F"/>
    <w:rsid w:val="009A5544"/>
    <w:rsid w:val="009A58DE"/>
    <w:rsid w:val="009A6498"/>
    <w:rsid w:val="009B36C0"/>
    <w:rsid w:val="009B3E8F"/>
    <w:rsid w:val="009B5A27"/>
    <w:rsid w:val="009B64C5"/>
    <w:rsid w:val="009B66DF"/>
    <w:rsid w:val="009B7BFB"/>
    <w:rsid w:val="009C0291"/>
    <w:rsid w:val="009C0FBA"/>
    <w:rsid w:val="009C4E24"/>
    <w:rsid w:val="009C66F1"/>
    <w:rsid w:val="009C7226"/>
    <w:rsid w:val="009D00F4"/>
    <w:rsid w:val="009D03D8"/>
    <w:rsid w:val="009D0F46"/>
    <w:rsid w:val="009D3571"/>
    <w:rsid w:val="009D6015"/>
    <w:rsid w:val="009E0E26"/>
    <w:rsid w:val="009E4180"/>
    <w:rsid w:val="009E4B3E"/>
    <w:rsid w:val="009E5365"/>
    <w:rsid w:val="009E5BB8"/>
    <w:rsid w:val="009F0953"/>
    <w:rsid w:val="009F53D2"/>
    <w:rsid w:val="00A0071A"/>
    <w:rsid w:val="00A01936"/>
    <w:rsid w:val="00A02B2F"/>
    <w:rsid w:val="00A05BC2"/>
    <w:rsid w:val="00A05C45"/>
    <w:rsid w:val="00A0773C"/>
    <w:rsid w:val="00A17286"/>
    <w:rsid w:val="00A207D2"/>
    <w:rsid w:val="00A23521"/>
    <w:rsid w:val="00A23B9E"/>
    <w:rsid w:val="00A23F3E"/>
    <w:rsid w:val="00A2450E"/>
    <w:rsid w:val="00A24D04"/>
    <w:rsid w:val="00A24F91"/>
    <w:rsid w:val="00A27501"/>
    <w:rsid w:val="00A27552"/>
    <w:rsid w:val="00A301F2"/>
    <w:rsid w:val="00A33FA4"/>
    <w:rsid w:val="00A3586B"/>
    <w:rsid w:val="00A406D5"/>
    <w:rsid w:val="00A41DF7"/>
    <w:rsid w:val="00A422C3"/>
    <w:rsid w:val="00A44EE4"/>
    <w:rsid w:val="00A47029"/>
    <w:rsid w:val="00A473BE"/>
    <w:rsid w:val="00A51748"/>
    <w:rsid w:val="00A53D0A"/>
    <w:rsid w:val="00A57276"/>
    <w:rsid w:val="00A57E4A"/>
    <w:rsid w:val="00A60D8B"/>
    <w:rsid w:val="00A629C7"/>
    <w:rsid w:val="00A6426B"/>
    <w:rsid w:val="00A648FB"/>
    <w:rsid w:val="00A657D6"/>
    <w:rsid w:val="00A705AF"/>
    <w:rsid w:val="00A734D1"/>
    <w:rsid w:val="00A73D12"/>
    <w:rsid w:val="00A76501"/>
    <w:rsid w:val="00A77AFD"/>
    <w:rsid w:val="00A81CC7"/>
    <w:rsid w:val="00A845DA"/>
    <w:rsid w:val="00A864C9"/>
    <w:rsid w:val="00A86C1D"/>
    <w:rsid w:val="00A872FB"/>
    <w:rsid w:val="00A87CB9"/>
    <w:rsid w:val="00A906CD"/>
    <w:rsid w:val="00A91BD5"/>
    <w:rsid w:val="00A95157"/>
    <w:rsid w:val="00A952F5"/>
    <w:rsid w:val="00A96399"/>
    <w:rsid w:val="00A9668B"/>
    <w:rsid w:val="00A97F5E"/>
    <w:rsid w:val="00AA1640"/>
    <w:rsid w:val="00AA51F4"/>
    <w:rsid w:val="00AA6CCE"/>
    <w:rsid w:val="00AB4B76"/>
    <w:rsid w:val="00AB5967"/>
    <w:rsid w:val="00AB5B6F"/>
    <w:rsid w:val="00AD2522"/>
    <w:rsid w:val="00AD4C84"/>
    <w:rsid w:val="00AD6744"/>
    <w:rsid w:val="00AE01A0"/>
    <w:rsid w:val="00AE1205"/>
    <w:rsid w:val="00AE2ED9"/>
    <w:rsid w:val="00AE3F66"/>
    <w:rsid w:val="00AE4098"/>
    <w:rsid w:val="00AE4918"/>
    <w:rsid w:val="00AE6E8D"/>
    <w:rsid w:val="00AE7BF6"/>
    <w:rsid w:val="00AF1DCB"/>
    <w:rsid w:val="00AF34D6"/>
    <w:rsid w:val="00AF4417"/>
    <w:rsid w:val="00AF7B3F"/>
    <w:rsid w:val="00B01B05"/>
    <w:rsid w:val="00B02168"/>
    <w:rsid w:val="00B0363B"/>
    <w:rsid w:val="00B0724F"/>
    <w:rsid w:val="00B1210E"/>
    <w:rsid w:val="00B12BC0"/>
    <w:rsid w:val="00B1686E"/>
    <w:rsid w:val="00B17252"/>
    <w:rsid w:val="00B21980"/>
    <w:rsid w:val="00B21DE6"/>
    <w:rsid w:val="00B22D33"/>
    <w:rsid w:val="00B22EAC"/>
    <w:rsid w:val="00B23B21"/>
    <w:rsid w:val="00B25D98"/>
    <w:rsid w:val="00B304BB"/>
    <w:rsid w:val="00B3176F"/>
    <w:rsid w:val="00B31F4F"/>
    <w:rsid w:val="00B32389"/>
    <w:rsid w:val="00B35411"/>
    <w:rsid w:val="00B4163F"/>
    <w:rsid w:val="00B419F4"/>
    <w:rsid w:val="00B4206A"/>
    <w:rsid w:val="00B43565"/>
    <w:rsid w:val="00B43679"/>
    <w:rsid w:val="00B4477A"/>
    <w:rsid w:val="00B44E12"/>
    <w:rsid w:val="00B452F4"/>
    <w:rsid w:val="00B45D1C"/>
    <w:rsid w:val="00B46E15"/>
    <w:rsid w:val="00B47588"/>
    <w:rsid w:val="00B47BCE"/>
    <w:rsid w:val="00B50F33"/>
    <w:rsid w:val="00B51418"/>
    <w:rsid w:val="00B52D25"/>
    <w:rsid w:val="00B541A3"/>
    <w:rsid w:val="00B56BE9"/>
    <w:rsid w:val="00B60A40"/>
    <w:rsid w:val="00B62C88"/>
    <w:rsid w:val="00B6691D"/>
    <w:rsid w:val="00B66A05"/>
    <w:rsid w:val="00B708F5"/>
    <w:rsid w:val="00B7098F"/>
    <w:rsid w:val="00B70B99"/>
    <w:rsid w:val="00B713AE"/>
    <w:rsid w:val="00B7360F"/>
    <w:rsid w:val="00B76E42"/>
    <w:rsid w:val="00B77D34"/>
    <w:rsid w:val="00B8167D"/>
    <w:rsid w:val="00B81D44"/>
    <w:rsid w:val="00B82944"/>
    <w:rsid w:val="00B82D4E"/>
    <w:rsid w:val="00B84A70"/>
    <w:rsid w:val="00B84F44"/>
    <w:rsid w:val="00B920AF"/>
    <w:rsid w:val="00B92A27"/>
    <w:rsid w:val="00B936EA"/>
    <w:rsid w:val="00B939E9"/>
    <w:rsid w:val="00B94ADD"/>
    <w:rsid w:val="00B967CE"/>
    <w:rsid w:val="00B97D10"/>
    <w:rsid w:val="00BA070B"/>
    <w:rsid w:val="00BA21B8"/>
    <w:rsid w:val="00BA2677"/>
    <w:rsid w:val="00BA5D8F"/>
    <w:rsid w:val="00BA72D2"/>
    <w:rsid w:val="00BA77C6"/>
    <w:rsid w:val="00BB38CA"/>
    <w:rsid w:val="00BB3BC6"/>
    <w:rsid w:val="00BB43F0"/>
    <w:rsid w:val="00BB48BF"/>
    <w:rsid w:val="00BB6BA2"/>
    <w:rsid w:val="00BB7972"/>
    <w:rsid w:val="00BC0E5B"/>
    <w:rsid w:val="00BC4757"/>
    <w:rsid w:val="00BC4948"/>
    <w:rsid w:val="00BC4C87"/>
    <w:rsid w:val="00BC69D0"/>
    <w:rsid w:val="00BD01F5"/>
    <w:rsid w:val="00BD158B"/>
    <w:rsid w:val="00BD35EA"/>
    <w:rsid w:val="00BD539E"/>
    <w:rsid w:val="00BD5898"/>
    <w:rsid w:val="00BD70B2"/>
    <w:rsid w:val="00BE3001"/>
    <w:rsid w:val="00BE3FF5"/>
    <w:rsid w:val="00BE726C"/>
    <w:rsid w:val="00BE7729"/>
    <w:rsid w:val="00BE79BC"/>
    <w:rsid w:val="00BF030E"/>
    <w:rsid w:val="00BF1903"/>
    <w:rsid w:val="00BF23F6"/>
    <w:rsid w:val="00BF6D19"/>
    <w:rsid w:val="00BF6D42"/>
    <w:rsid w:val="00C007F5"/>
    <w:rsid w:val="00C02030"/>
    <w:rsid w:val="00C02E23"/>
    <w:rsid w:val="00C054DB"/>
    <w:rsid w:val="00C056A4"/>
    <w:rsid w:val="00C103EC"/>
    <w:rsid w:val="00C11DDB"/>
    <w:rsid w:val="00C13255"/>
    <w:rsid w:val="00C13BE8"/>
    <w:rsid w:val="00C168FB"/>
    <w:rsid w:val="00C16DE0"/>
    <w:rsid w:val="00C16FB9"/>
    <w:rsid w:val="00C17C4D"/>
    <w:rsid w:val="00C21F34"/>
    <w:rsid w:val="00C22708"/>
    <w:rsid w:val="00C22FCE"/>
    <w:rsid w:val="00C23B73"/>
    <w:rsid w:val="00C26F82"/>
    <w:rsid w:val="00C27D84"/>
    <w:rsid w:val="00C27EF7"/>
    <w:rsid w:val="00C3036D"/>
    <w:rsid w:val="00C31827"/>
    <w:rsid w:val="00C339F0"/>
    <w:rsid w:val="00C34FFB"/>
    <w:rsid w:val="00C427E0"/>
    <w:rsid w:val="00C43C18"/>
    <w:rsid w:val="00C446B6"/>
    <w:rsid w:val="00C454C8"/>
    <w:rsid w:val="00C47603"/>
    <w:rsid w:val="00C478EA"/>
    <w:rsid w:val="00C50F87"/>
    <w:rsid w:val="00C51B46"/>
    <w:rsid w:val="00C5285E"/>
    <w:rsid w:val="00C5447E"/>
    <w:rsid w:val="00C54CA1"/>
    <w:rsid w:val="00C60782"/>
    <w:rsid w:val="00C61931"/>
    <w:rsid w:val="00C62C69"/>
    <w:rsid w:val="00C631E2"/>
    <w:rsid w:val="00C6388F"/>
    <w:rsid w:val="00C65092"/>
    <w:rsid w:val="00C72756"/>
    <w:rsid w:val="00C72963"/>
    <w:rsid w:val="00C7311A"/>
    <w:rsid w:val="00C748A0"/>
    <w:rsid w:val="00C75EBB"/>
    <w:rsid w:val="00C76812"/>
    <w:rsid w:val="00C77A41"/>
    <w:rsid w:val="00C81759"/>
    <w:rsid w:val="00C841AB"/>
    <w:rsid w:val="00C84B3F"/>
    <w:rsid w:val="00C86085"/>
    <w:rsid w:val="00C86EF5"/>
    <w:rsid w:val="00C96F07"/>
    <w:rsid w:val="00C97EE3"/>
    <w:rsid w:val="00CA09F0"/>
    <w:rsid w:val="00CA2272"/>
    <w:rsid w:val="00CA367C"/>
    <w:rsid w:val="00CA4ECE"/>
    <w:rsid w:val="00CB01BE"/>
    <w:rsid w:val="00CB6436"/>
    <w:rsid w:val="00CB71BB"/>
    <w:rsid w:val="00CC21C2"/>
    <w:rsid w:val="00CC441D"/>
    <w:rsid w:val="00CC442E"/>
    <w:rsid w:val="00CC4570"/>
    <w:rsid w:val="00CC4AEB"/>
    <w:rsid w:val="00CC6548"/>
    <w:rsid w:val="00CD10F1"/>
    <w:rsid w:val="00CD3179"/>
    <w:rsid w:val="00CD4911"/>
    <w:rsid w:val="00CD5F5A"/>
    <w:rsid w:val="00CD699B"/>
    <w:rsid w:val="00CE0FFC"/>
    <w:rsid w:val="00CE3525"/>
    <w:rsid w:val="00CE3972"/>
    <w:rsid w:val="00CF2F5C"/>
    <w:rsid w:val="00CF43E7"/>
    <w:rsid w:val="00CF4470"/>
    <w:rsid w:val="00CF4870"/>
    <w:rsid w:val="00D00124"/>
    <w:rsid w:val="00D0112F"/>
    <w:rsid w:val="00D014A6"/>
    <w:rsid w:val="00D0396F"/>
    <w:rsid w:val="00D04ECC"/>
    <w:rsid w:val="00D07BD0"/>
    <w:rsid w:val="00D07DFD"/>
    <w:rsid w:val="00D121CF"/>
    <w:rsid w:val="00D152FC"/>
    <w:rsid w:val="00D17307"/>
    <w:rsid w:val="00D200B2"/>
    <w:rsid w:val="00D202BA"/>
    <w:rsid w:val="00D21C03"/>
    <w:rsid w:val="00D22796"/>
    <w:rsid w:val="00D22BD7"/>
    <w:rsid w:val="00D26888"/>
    <w:rsid w:val="00D30579"/>
    <w:rsid w:val="00D3084C"/>
    <w:rsid w:val="00D31299"/>
    <w:rsid w:val="00D3350E"/>
    <w:rsid w:val="00D33D56"/>
    <w:rsid w:val="00D35390"/>
    <w:rsid w:val="00D360CC"/>
    <w:rsid w:val="00D37F1B"/>
    <w:rsid w:val="00D43023"/>
    <w:rsid w:val="00D43377"/>
    <w:rsid w:val="00D4723F"/>
    <w:rsid w:val="00D52337"/>
    <w:rsid w:val="00D52E31"/>
    <w:rsid w:val="00D530A6"/>
    <w:rsid w:val="00D53469"/>
    <w:rsid w:val="00D54682"/>
    <w:rsid w:val="00D56167"/>
    <w:rsid w:val="00D6208B"/>
    <w:rsid w:val="00D66B17"/>
    <w:rsid w:val="00D66DBC"/>
    <w:rsid w:val="00D7510C"/>
    <w:rsid w:val="00D76C94"/>
    <w:rsid w:val="00D773DD"/>
    <w:rsid w:val="00D80F66"/>
    <w:rsid w:val="00D81DD8"/>
    <w:rsid w:val="00D8467D"/>
    <w:rsid w:val="00D8717C"/>
    <w:rsid w:val="00D87C6B"/>
    <w:rsid w:val="00D92C3B"/>
    <w:rsid w:val="00D93A20"/>
    <w:rsid w:val="00D93FFA"/>
    <w:rsid w:val="00D9423D"/>
    <w:rsid w:val="00D95024"/>
    <w:rsid w:val="00DA155B"/>
    <w:rsid w:val="00DA164F"/>
    <w:rsid w:val="00DA4405"/>
    <w:rsid w:val="00DA46BD"/>
    <w:rsid w:val="00DB0382"/>
    <w:rsid w:val="00DB118C"/>
    <w:rsid w:val="00DB1AB1"/>
    <w:rsid w:val="00DB3ABC"/>
    <w:rsid w:val="00DB53A0"/>
    <w:rsid w:val="00DB580D"/>
    <w:rsid w:val="00DC0643"/>
    <w:rsid w:val="00DC1EFA"/>
    <w:rsid w:val="00DC2E6D"/>
    <w:rsid w:val="00DC55C9"/>
    <w:rsid w:val="00DC5BB7"/>
    <w:rsid w:val="00DC5DC3"/>
    <w:rsid w:val="00DC61AA"/>
    <w:rsid w:val="00DD0B49"/>
    <w:rsid w:val="00DD1287"/>
    <w:rsid w:val="00DD2514"/>
    <w:rsid w:val="00DD2985"/>
    <w:rsid w:val="00DE20DC"/>
    <w:rsid w:val="00DE2B94"/>
    <w:rsid w:val="00DE31EB"/>
    <w:rsid w:val="00DE695F"/>
    <w:rsid w:val="00DE6BB0"/>
    <w:rsid w:val="00DF0D80"/>
    <w:rsid w:val="00DF1470"/>
    <w:rsid w:val="00DF2DE1"/>
    <w:rsid w:val="00DF300B"/>
    <w:rsid w:val="00DF57A4"/>
    <w:rsid w:val="00DF7393"/>
    <w:rsid w:val="00E001FD"/>
    <w:rsid w:val="00E02BF7"/>
    <w:rsid w:val="00E039E1"/>
    <w:rsid w:val="00E041D6"/>
    <w:rsid w:val="00E04CB3"/>
    <w:rsid w:val="00E069D4"/>
    <w:rsid w:val="00E1154C"/>
    <w:rsid w:val="00E124D2"/>
    <w:rsid w:val="00E128CA"/>
    <w:rsid w:val="00E12BEE"/>
    <w:rsid w:val="00E145B0"/>
    <w:rsid w:val="00E1460A"/>
    <w:rsid w:val="00E15E94"/>
    <w:rsid w:val="00E23E4A"/>
    <w:rsid w:val="00E2426F"/>
    <w:rsid w:val="00E24305"/>
    <w:rsid w:val="00E2434D"/>
    <w:rsid w:val="00E259C0"/>
    <w:rsid w:val="00E27742"/>
    <w:rsid w:val="00E30D86"/>
    <w:rsid w:val="00E3169F"/>
    <w:rsid w:val="00E34344"/>
    <w:rsid w:val="00E35799"/>
    <w:rsid w:val="00E36757"/>
    <w:rsid w:val="00E41C6B"/>
    <w:rsid w:val="00E427A4"/>
    <w:rsid w:val="00E431C1"/>
    <w:rsid w:val="00E4389A"/>
    <w:rsid w:val="00E46643"/>
    <w:rsid w:val="00E50AC7"/>
    <w:rsid w:val="00E52092"/>
    <w:rsid w:val="00E56309"/>
    <w:rsid w:val="00E57C2F"/>
    <w:rsid w:val="00E60CE1"/>
    <w:rsid w:val="00E648C1"/>
    <w:rsid w:val="00E67484"/>
    <w:rsid w:val="00E674D4"/>
    <w:rsid w:val="00E6777D"/>
    <w:rsid w:val="00E67D60"/>
    <w:rsid w:val="00E73B33"/>
    <w:rsid w:val="00E75A10"/>
    <w:rsid w:val="00E80F5C"/>
    <w:rsid w:val="00E81928"/>
    <w:rsid w:val="00E81AFF"/>
    <w:rsid w:val="00E8673A"/>
    <w:rsid w:val="00E86AB6"/>
    <w:rsid w:val="00E87ADE"/>
    <w:rsid w:val="00E92B12"/>
    <w:rsid w:val="00E94A41"/>
    <w:rsid w:val="00E97ABA"/>
    <w:rsid w:val="00E97ED9"/>
    <w:rsid w:val="00EA1BE5"/>
    <w:rsid w:val="00EA32FF"/>
    <w:rsid w:val="00EA5DCE"/>
    <w:rsid w:val="00EA6348"/>
    <w:rsid w:val="00EB2260"/>
    <w:rsid w:val="00EB2C08"/>
    <w:rsid w:val="00EB2DB4"/>
    <w:rsid w:val="00EB4C31"/>
    <w:rsid w:val="00EB5EC2"/>
    <w:rsid w:val="00EC0B6C"/>
    <w:rsid w:val="00EC28EB"/>
    <w:rsid w:val="00EC3600"/>
    <w:rsid w:val="00EC37E9"/>
    <w:rsid w:val="00EC4635"/>
    <w:rsid w:val="00EC4C57"/>
    <w:rsid w:val="00EC535E"/>
    <w:rsid w:val="00EC5922"/>
    <w:rsid w:val="00ED22DD"/>
    <w:rsid w:val="00ED604C"/>
    <w:rsid w:val="00ED65A8"/>
    <w:rsid w:val="00ED7D40"/>
    <w:rsid w:val="00EE15FA"/>
    <w:rsid w:val="00EE3B0A"/>
    <w:rsid w:val="00EE4271"/>
    <w:rsid w:val="00EE4825"/>
    <w:rsid w:val="00EE5365"/>
    <w:rsid w:val="00EE586B"/>
    <w:rsid w:val="00EE7DDB"/>
    <w:rsid w:val="00EF23FB"/>
    <w:rsid w:val="00EF4980"/>
    <w:rsid w:val="00EF4CC0"/>
    <w:rsid w:val="00EF72F7"/>
    <w:rsid w:val="00F00978"/>
    <w:rsid w:val="00F0200B"/>
    <w:rsid w:val="00F02351"/>
    <w:rsid w:val="00F03D72"/>
    <w:rsid w:val="00F053F3"/>
    <w:rsid w:val="00F07205"/>
    <w:rsid w:val="00F1280E"/>
    <w:rsid w:val="00F14723"/>
    <w:rsid w:val="00F148BC"/>
    <w:rsid w:val="00F17B65"/>
    <w:rsid w:val="00F20189"/>
    <w:rsid w:val="00F20359"/>
    <w:rsid w:val="00F207E3"/>
    <w:rsid w:val="00F21AE4"/>
    <w:rsid w:val="00F223A1"/>
    <w:rsid w:val="00F2306E"/>
    <w:rsid w:val="00F246C8"/>
    <w:rsid w:val="00F278AE"/>
    <w:rsid w:val="00F30F74"/>
    <w:rsid w:val="00F31781"/>
    <w:rsid w:val="00F3257C"/>
    <w:rsid w:val="00F346F7"/>
    <w:rsid w:val="00F35C74"/>
    <w:rsid w:val="00F400F7"/>
    <w:rsid w:val="00F41D45"/>
    <w:rsid w:val="00F43221"/>
    <w:rsid w:val="00F43C59"/>
    <w:rsid w:val="00F44A6B"/>
    <w:rsid w:val="00F5291A"/>
    <w:rsid w:val="00F562C3"/>
    <w:rsid w:val="00F6092E"/>
    <w:rsid w:val="00F63B48"/>
    <w:rsid w:val="00F64900"/>
    <w:rsid w:val="00F66380"/>
    <w:rsid w:val="00F70524"/>
    <w:rsid w:val="00F730CC"/>
    <w:rsid w:val="00F73DA5"/>
    <w:rsid w:val="00F75F82"/>
    <w:rsid w:val="00F76ECB"/>
    <w:rsid w:val="00F8038B"/>
    <w:rsid w:val="00F8285E"/>
    <w:rsid w:val="00F9018D"/>
    <w:rsid w:val="00F92A39"/>
    <w:rsid w:val="00F96615"/>
    <w:rsid w:val="00F96E4F"/>
    <w:rsid w:val="00FA01D1"/>
    <w:rsid w:val="00FA051B"/>
    <w:rsid w:val="00FA2CEA"/>
    <w:rsid w:val="00FA32F3"/>
    <w:rsid w:val="00FA6963"/>
    <w:rsid w:val="00FA6BCA"/>
    <w:rsid w:val="00FA71F5"/>
    <w:rsid w:val="00FB18DD"/>
    <w:rsid w:val="00FB230B"/>
    <w:rsid w:val="00FB3C1D"/>
    <w:rsid w:val="00FB4DD0"/>
    <w:rsid w:val="00FB593B"/>
    <w:rsid w:val="00FC19C6"/>
    <w:rsid w:val="00FC2301"/>
    <w:rsid w:val="00FC26CD"/>
    <w:rsid w:val="00FC3BD0"/>
    <w:rsid w:val="00FC51B2"/>
    <w:rsid w:val="00FC6C9E"/>
    <w:rsid w:val="00FD07E9"/>
    <w:rsid w:val="00FD4A7A"/>
    <w:rsid w:val="00FE1E0D"/>
    <w:rsid w:val="00FE5A94"/>
    <w:rsid w:val="00FE62E9"/>
    <w:rsid w:val="00FE68BF"/>
    <w:rsid w:val="00FE7D80"/>
    <w:rsid w:val="00FF07E0"/>
    <w:rsid w:val="00FF1C86"/>
    <w:rsid w:val="00FF26A3"/>
    <w:rsid w:val="00FF4021"/>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8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E"/>
    <w:rPr>
      <w:rFonts w:ascii="Gill Sans MT" w:hAnsi="Gill Sans MT"/>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E"/>
    <w:rPr>
      <w:rFonts w:ascii="Gill Sans MT" w:hAnsi="Gill Sans MT"/>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6444">
      <w:bodyDiv w:val="1"/>
      <w:marLeft w:val="0"/>
      <w:marRight w:val="0"/>
      <w:marTop w:val="0"/>
      <w:marBottom w:val="0"/>
      <w:divBdr>
        <w:top w:val="none" w:sz="0" w:space="0" w:color="auto"/>
        <w:left w:val="none" w:sz="0" w:space="0" w:color="auto"/>
        <w:bottom w:val="none" w:sz="0" w:space="0" w:color="auto"/>
        <w:right w:val="none" w:sz="0" w:space="0" w:color="auto"/>
      </w:divBdr>
    </w:div>
    <w:div w:id="20185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F908-7750-4BF0-AFAD-DC5C4657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4BE11CEA</Template>
  <TotalTime>0</TotalTime>
  <Pages>7</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1</vt:lpstr>
    </vt:vector>
  </TitlesOfParts>
  <Company>West Oxfordshire District Council</Company>
  <LinksUpToDate>false</LinksUpToDate>
  <CharactersWithSpaces>17026</CharactersWithSpaces>
  <SharedDoc>false</SharedDoc>
  <HLinks>
    <vt:vector size="6" baseType="variant">
      <vt:variant>
        <vt:i4>1441838</vt:i4>
      </vt:variant>
      <vt:variant>
        <vt:i4>0</vt:i4>
      </vt:variant>
      <vt:variant>
        <vt:i4>0</vt:i4>
      </vt:variant>
      <vt:variant>
        <vt:i4>5</vt:i4>
      </vt:variant>
      <vt:variant>
        <vt:lpwstr/>
      </vt:variant>
      <vt:variant>
        <vt:lpwstr>_Appendix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mwillis</dc:creator>
  <cp:lastModifiedBy>pstaines</cp:lastModifiedBy>
  <cp:revision>2</cp:revision>
  <cp:lastPrinted>2018-03-08T14:13:00Z</cp:lastPrinted>
  <dcterms:created xsi:type="dcterms:W3CDTF">2018-03-19T14:06:00Z</dcterms:created>
  <dcterms:modified xsi:type="dcterms:W3CDTF">2018-03-19T14:06:00Z</dcterms:modified>
</cp:coreProperties>
</file>